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56B1E" w14:textId="77777777" w:rsidR="0078012E" w:rsidRDefault="0078012E">
      <w:pPr>
        <w:pStyle w:val="BodyText"/>
        <w:rPr>
          <w:rFonts w:ascii="Times New Roman"/>
          <w:sz w:val="20"/>
        </w:rPr>
      </w:pPr>
    </w:p>
    <w:p w14:paraId="3ABB5E54" w14:textId="77777777" w:rsidR="0078012E" w:rsidRDefault="0078012E">
      <w:pPr>
        <w:pStyle w:val="BodyText"/>
        <w:rPr>
          <w:rFonts w:ascii="Times New Roman"/>
          <w:sz w:val="20"/>
        </w:rPr>
      </w:pPr>
    </w:p>
    <w:p w14:paraId="411E7CE1" w14:textId="77777777" w:rsidR="0078012E" w:rsidRDefault="0078012E">
      <w:pPr>
        <w:pStyle w:val="BodyText"/>
        <w:rPr>
          <w:rFonts w:ascii="Times New Roman"/>
          <w:sz w:val="20"/>
        </w:rPr>
      </w:pPr>
    </w:p>
    <w:p w14:paraId="49A99EB3" w14:textId="77777777" w:rsidR="0078012E" w:rsidRDefault="0078012E">
      <w:pPr>
        <w:pStyle w:val="BodyText"/>
        <w:rPr>
          <w:rFonts w:ascii="Times New Roman"/>
          <w:sz w:val="20"/>
        </w:rPr>
      </w:pPr>
    </w:p>
    <w:p w14:paraId="0B3A2680" w14:textId="77777777" w:rsidR="0078012E" w:rsidRDefault="0078012E">
      <w:pPr>
        <w:pStyle w:val="BodyText"/>
        <w:rPr>
          <w:rFonts w:ascii="Times New Roman"/>
          <w:sz w:val="20"/>
        </w:rPr>
      </w:pPr>
    </w:p>
    <w:p w14:paraId="50E3BE70" w14:textId="77777777" w:rsidR="0078012E" w:rsidRDefault="0078012E">
      <w:pPr>
        <w:pStyle w:val="BodyText"/>
        <w:rPr>
          <w:rFonts w:ascii="Times New Roman"/>
          <w:sz w:val="20"/>
        </w:rPr>
      </w:pPr>
    </w:p>
    <w:p w14:paraId="4C0DA288" w14:textId="77777777" w:rsidR="0078012E" w:rsidRDefault="0078012E">
      <w:pPr>
        <w:pStyle w:val="BodyText"/>
        <w:rPr>
          <w:rFonts w:ascii="Times New Roman"/>
          <w:sz w:val="20"/>
        </w:rPr>
      </w:pPr>
    </w:p>
    <w:p w14:paraId="42211F10" w14:textId="77777777" w:rsidR="0078012E" w:rsidRDefault="0078012E">
      <w:pPr>
        <w:pStyle w:val="BodyText"/>
        <w:rPr>
          <w:rFonts w:ascii="Times New Roman"/>
          <w:sz w:val="20"/>
        </w:rPr>
      </w:pPr>
    </w:p>
    <w:p w14:paraId="0BB1729F" w14:textId="77777777" w:rsidR="0078012E" w:rsidRDefault="0078012E">
      <w:pPr>
        <w:pStyle w:val="BodyText"/>
        <w:rPr>
          <w:rFonts w:ascii="Times New Roman"/>
          <w:sz w:val="20"/>
        </w:rPr>
      </w:pPr>
    </w:p>
    <w:p w14:paraId="3186EE04" w14:textId="77777777" w:rsidR="0078012E" w:rsidRDefault="0078012E">
      <w:pPr>
        <w:pStyle w:val="BodyText"/>
        <w:rPr>
          <w:rFonts w:ascii="Times New Roman"/>
          <w:sz w:val="20"/>
        </w:rPr>
      </w:pPr>
    </w:p>
    <w:p w14:paraId="2065E865" w14:textId="512E0739" w:rsidR="0078012E" w:rsidRDefault="00CA4C0D">
      <w:pPr>
        <w:pStyle w:val="Heading1"/>
        <w:spacing w:before="247" w:line="715" w:lineRule="auto"/>
        <w:ind w:left="2352" w:right="2929"/>
        <w:jc w:val="center"/>
        <w:rPr>
          <w:rFonts w:ascii="Times New Roman"/>
        </w:rPr>
      </w:pPr>
      <w:r w:rsidRPr="00FD1453">
        <w:rPr>
          <w:rFonts w:ascii="Times New Roman"/>
        </w:rPr>
        <w:t>202</w:t>
      </w:r>
      <w:r w:rsidR="00FD1453">
        <w:rPr>
          <w:rFonts w:ascii="Times New Roman"/>
        </w:rPr>
        <w:t>3</w:t>
      </w:r>
      <w:r>
        <w:rPr>
          <w:rFonts w:ascii="Times New Roman"/>
        </w:rPr>
        <w:t xml:space="preserve"> </w:t>
      </w:r>
      <w:r w:rsidR="003E42C5">
        <w:rPr>
          <w:rFonts w:ascii="Times New Roman"/>
        </w:rPr>
        <w:t>ANNUAL REPORT FOR THE UNIVERSITY OF REGINA</w:t>
      </w:r>
    </w:p>
    <w:p w14:paraId="00913579" w14:textId="77777777" w:rsidR="0078012E" w:rsidRDefault="003E42C5">
      <w:pPr>
        <w:spacing w:before="2"/>
        <w:ind w:left="2352" w:right="2930"/>
        <w:jc w:val="center"/>
        <w:rPr>
          <w:rFonts w:ascii="Times New Roman"/>
          <w:b/>
          <w:sz w:val="28"/>
        </w:rPr>
      </w:pPr>
      <w:r>
        <w:rPr>
          <w:rFonts w:ascii="Times New Roman"/>
          <w:b/>
          <w:sz w:val="28"/>
        </w:rPr>
        <w:t>TRUST AND ENDOWMENT FUND</w:t>
      </w:r>
    </w:p>
    <w:p w14:paraId="5DBD2112" w14:textId="77777777" w:rsidR="0078012E" w:rsidRDefault="0078012E">
      <w:pPr>
        <w:pStyle w:val="BodyText"/>
        <w:rPr>
          <w:rFonts w:ascii="Times New Roman"/>
          <w:b/>
          <w:sz w:val="20"/>
        </w:rPr>
      </w:pPr>
    </w:p>
    <w:p w14:paraId="3BAA9FA2" w14:textId="77777777" w:rsidR="0078012E" w:rsidRDefault="0078012E">
      <w:pPr>
        <w:pStyle w:val="BodyText"/>
        <w:rPr>
          <w:rFonts w:ascii="Times New Roman"/>
          <w:b/>
          <w:sz w:val="20"/>
        </w:rPr>
      </w:pPr>
    </w:p>
    <w:p w14:paraId="1BBAE4F8" w14:textId="77777777" w:rsidR="0078012E" w:rsidRDefault="0078012E">
      <w:pPr>
        <w:pStyle w:val="BodyText"/>
        <w:rPr>
          <w:rFonts w:ascii="Times New Roman"/>
          <w:b/>
          <w:sz w:val="20"/>
        </w:rPr>
      </w:pPr>
    </w:p>
    <w:p w14:paraId="6BEEACC6" w14:textId="77777777" w:rsidR="0078012E" w:rsidRDefault="0078012E">
      <w:pPr>
        <w:pStyle w:val="BodyText"/>
        <w:rPr>
          <w:rFonts w:ascii="Times New Roman"/>
          <w:b/>
          <w:sz w:val="20"/>
        </w:rPr>
      </w:pPr>
    </w:p>
    <w:p w14:paraId="3E6707FD" w14:textId="77777777" w:rsidR="0078012E" w:rsidRDefault="0078012E">
      <w:pPr>
        <w:pStyle w:val="BodyText"/>
        <w:rPr>
          <w:rFonts w:ascii="Times New Roman"/>
          <w:b/>
          <w:sz w:val="20"/>
        </w:rPr>
      </w:pPr>
    </w:p>
    <w:p w14:paraId="11AA49A8" w14:textId="77777777" w:rsidR="0078012E" w:rsidRDefault="0078012E">
      <w:pPr>
        <w:pStyle w:val="BodyText"/>
        <w:rPr>
          <w:rFonts w:ascii="Times New Roman"/>
          <w:b/>
          <w:sz w:val="20"/>
        </w:rPr>
      </w:pPr>
    </w:p>
    <w:p w14:paraId="4CD87637" w14:textId="77777777" w:rsidR="0078012E" w:rsidRDefault="0078012E">
      <w:pPr>
        <w:pStyle w:val="BodyText"/>
        <w:rPr>
          <w:rFonts w:ascii="Times New Roman"/>
          <w:b/>
          <w:sz w:val="20"/>
        </w:rPr>
      </w:pPr>
    </w:p>
    <w:p w14:paraId="273C0110" w14:textId="77777777" w:rsidR="0078012E" w:rsidRDefault="0078012E">
      <w:pPr>
        <w:pStyle w:val="BodyText"/>
        <w:rPr>
          <w:rFonts w:ascii="Times New Roman"/>
          <w:b/>
          <w:sz w:val="20"/>
        </w:rPr>
      </w:pPr>
    </w:p>
    <w:p w14:paraId="44017790" w14:textId="77777777" w:rsidR="0078012E" w:rsidRDefault="0078012E">
      <w:pPr>
        <w:pStyle w:val="BodyText"/>
        <w:rPr>
          <w:rFonts w:ascii="Times New Roman"/>
          <w:b/>
          <w:sz w:val="20"/>
        </w:rPr>
      </w:pPr>
    </w:p>
    <w:p w14:paraId="0754A45C" w14:textId="77777777" w:rsidR="0078012E" w:rsidRDefault="0078012E">
      <w:pPr>
        <w:pStyle w:val="BodyText"/>
        <w:rPr>
          <w:rFonts w:ascii="Times New Roman"/>
          <w:b/>
          <w:sz w:val="20"/>
        </w:rPr>
      </w:pPr>
    </w:p>
    <w:p w14:paraId="5532171E" w14:textId="77777777" w:rsidR="0078012E" w:rsidRDefault="0078012E">
      <w:pPr>
        <w:pStyle w:val="BodyText"/>
        <w:rPr>
          <w:rFonts w:ascii="Times New Roman"/>
          <w:b/>
          <w:sz w:val="20"/>
        </w:rPr>
      </w:pPr>
    </w:p>
    <w:p w14:paraId="7DADAE7D" w14:textId="77777777" w:rsidR="0078012E" w:rsidRDefault="0078012E">
      <w:pPr>
        <w:pStyle w:val="BodyText"/>
        <w:rPr>
          <w:rFonts w:ascii="Times New Roman"/>
          <w:b/>
          <w:sz w:val="20"/>
        </w:rPr>
      </w:pPr>
    </w:p>
    <w:p w14:paraId="0B0BF463" w14:textId="77777777" w:rsidR="0078012E" w:rsidRDefault="0078012E">
      <w:pPr>
        <w:pStyle w:val="BodyText"/>
        <w:rPr>
          <w:rFonts w:ascii="Times New Roman"/>
          <w:b/>
          <w:sz w:val="20"/>
        </w:rPr>
      </w:pPr>
    </w:p>
    <w:p w14:paraId="64AB40EC" w14:textId="77777777" w:rsidR="0078012E" w:rsidRDefault="0078012E">
      <w:pPr>
        <w:pStyle w:val="BodyText"/>
        <w:rPr>
          <w:rFonts w:ascii="Times New Roman"/>
          <w:b/>
          <w:sz w:val="20"/>
        </w:rPr>
      </w:pPr>
    </w:p>
    <w:p w14:paraId="18E6781A" w14:textId="77777777" w:rsidR="0078012E" w:rsidRDefault="0078012E">
      <w:pPr>
        <w:pStyle w:val="BodyText"/>
        <w:rPr>
          <w:rFonts w:ascii="Times New Roman"/>
          <w:b/>
          <w:sz w:val="20"/>
        </w:rPr>
      </w:pPr>
    </w:p>
    <w:p w14:paraId="5C9A332B" w14:textId="77777777" w:rsidR="0078012E" w:rsidRDefault="0078012E">
      <w:pPr>
        <w:pStyle w:val="BodyText"/>
        <w:rPr>
          <w:rFonts w:ascii="Times New Roman"/>
          <w:b/>
          <w:sz w:val="20"/>
        </w:rPr>
      </w:pPr>
    </w:p>
    <w:p w14:paraId="22A9DB87" w14:textId="77777777" w:rsidR="0078012E" w:rsidRDefault="0078012E">
      <w:pPr>
        <w:pStyle w:val="BodyText"/>
        <w:rPr>
          <w:rFonts w:ascii="Times New Roman"/>
          <w:b/>
          <w:sz w:val="20"/>
        </w:rPr>
      </w:pPr>
    </w:p>
    <w:p w14:paraId="69579AE3" w14:textId="77777777" w:rsidR="0078012E" w:rsidRDefault="0078012E">
      <w:pPr>
        <w:pStyle w:val="BodyText"/>
        <w:rPr>
          <w:rFonts w:ascii="Times New Roman"/>
          <w:b/>
          <w:sz w:val="20"/>
        </w:rPr>
      </w:pPr>
    </w:p>
    <w:p w14:paraId="60DDF64A" w14:textId="77777777" w:rsidR="0078012E" w:rsidRDefault="0078012E">
      <w:pPr>
        <w:pStyle w:val="BodyText"/>
        <w:rPr>
          <w:rFonts w:ascii="Times New Roman"/>
          <w:b/>
          <w:sz w:val="20"/>
        </w:rPr>
      </w:pPr>
    </w:p>
    <w:p w14:paraId="3E3E7071" w14:textId="77777777" w:rsidR="0078012E" w:rsidRDefault="003E42C5">
      <w:pPr>
        <w:pStyle w:val="BodyText"/>
        <w:spacing w:before="11"/>
        <w:rPr>
          <w:rFonts w:ascii="Times New Roman"/>
          <w:b/>
          <w:sz w:val="11"/>
        </w:rPr>
      </w:pPr>
      <w:r>
        <w:rPr>
          <w:noProof/>
          <w:lang w:eastAsia="ja-JP" w:bidi="ar-SA"/>
        </w:rPr>
        <w:drawing>
          <wp:anchor distT="0" distB="0" distL="0" distR="0" simplePos="0" relativeHeight="251658240" behindDoc="0" locked="0" layoutInCell="1" allowOverlap="1" wp14:anchorId="442D80BF" wp14:editId="20B107C4">
            <wp:simplePos x="0" y="0"/>
            <wp:positionH relativeFrom="page">
              <wp:posOffset>5405296</wp:posOffset>
            </wp:positionH>
            <wp:positionV relativeFrom="paragraph">
              <wp:posOffset>112162</wp:posOffset>
            </wp:positionV>
            <wp:extent cx="1204236" cy="603504"/>
            <wp:effectExtent l="0" t="0" r="0" b="0"/>
            <wp:wrapTopAndBottom/>
            <wp:docPr id="1" name="image1.jpeg" descr="UReginaBl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4236" cy="603504"/>
                    </a:xfrm>
                    <a:prstGeom prst="rect">
                      <a:avLst/>
                    </a:prstGeom>
                  </pic:spPr>
                </pic:pic>
              </a:graphicData>
            </a:graphic>
          </wp:anchor>
        </w:drawing>
      </w:r>
    </w:p>
    <w:p w14:paraId="7C6C66AE" w14:textId="77777777" w:rsidR="0078012E" w:rsidRDefault="0078012E">
      <w:pPr>
        <w:pStyle w:val="BodyText"/>
        <w:spacing w:before="1"/>
        <w:rPr>
          <w:rFonts w:ascii="Times New Roman"/>
          <w:b/>
          <w:sz w:val="3"/>
        </w:rPr>
      </w:pPr>
    </w:p>
    <w:p w14:paraId="65AC13ED" w14:textId="77777777" w:rsidR="0078012E" w:rsidRDefault="003E42C5">
      <w:pPr>
        <w:pStyle w:val="BodyText"/>
        <w:ind w:left="100"/>
        <w:rPr>
          <w:rFonts w:ascii="Times New Roman"/>
          <w:sz w:val="20"/>
        </w:rPr>
      </w:pPr>
      <w:r>
        <w:rPr>
          <w:rFonts w:ascii="Times New Roman"/>
          <w:noProof/>
          <w:sz w:val="20"/>
          <w:lang w:eastAsia="ja-JP" w:bidi="ar-SA"/>
        </w:rPr>
        <w:drawing>
          <wp:inline distT="0" distB="0" distL="0" distR="0" wp14:anchorId="42839EA7" wp14:editId="4E6A4C33">
            <wp:extent cx="5909604" cy="118129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909604" cy="1181290"/>
                    </a:xfrm>
                    <a:prstGeom prst="rect">
                      <a:avLst/>
                    </a:prstGeom>
                  </pic:spPr>
                </pic:pic>
              </a:graphicData>
            </a:graphic>
          </wp:inline>
        </w:drawing>
      </w:r>
    </w:p>
    <w:p w14:paraId="15854889" w14:textId="77777777" w:rsidR="0078012E" w:rsidRDefault="0078012E">
      <w:pPr>
        <w:rPr>
          <w:rFonts w:ascii="Times New Roman"/>
          <w:sz w:val="20"/>
        </w:rPr>
        <w:sectPr w:rsidR="0078012E">
          <w:type w:val="continuous"/>
          <w:pgSz w:w="12240" w:h="15840"/>
          <w:pgMar w:top="1500" w:right="1120" w:bottom="280" w:left="1340" w:header="720" w:footer="720" w:gutter="0"/>
          <w:cols w:space="720"/>
        </w:sectPr>
      </w:pPr>
    </w:p>
    <w:p w14:paraId="353C76A7" w14:textId="77777777" w:rsidR="0078012E" w:rsidRDefault="003E42C5">
      <w:pPr>
        <w:spacing w:before="78"/>
        <w:ind w:left="100"/>
        <w:rPr>
          <w:b/>
          <w:sz w:val="28"/>
        </w:rPr>
      </w:pPr>
      <w:r>
        <w:rPr>
          <w:b/>
          <w:sz w:val="28"/>
        </w:rPr>
        <w:lastRenderedPageBreak/>
        <w:t>The University of Regina Trust &amp; Endowment Fund – Overview</w:t>
      </w:r>
    </w:p>
    <w:p w14:paraId="6BA0B810" w14:textId="794D357D" w:rsidR="0078012E" w:rsidRPr="00A40578" w:rsidRDefault="003E42C5">
      <w:pPr>
        <w:pStyle w:val="BodyText"/>
        <w:spacing w:before="121" w:line="360" w:lineRule="auto"/>
        <w:ind w:left="100" w:right="749"/>
        <w:rPr>
          <w:highlight w:val="yellow"/>
        </w:rPr>
      </w:pPr>
      <w:r w:rsidRPr="0047393E">
        <w:t xml:space="preserve">The University of Regina Trust &amp; Endowment Fund (TEF) consists of </w:t>
      </w:r>
      <w:r w:rsidR="00E10965" w:rsidRPr="0047393E">
        <w:t>41</w:t>
      </w:r>
      <w:r w:rsidR="0047393E" w:rsidRPr="0047393E">
        <w:t>8</w:t>
      </w:r>
      <w:r w:rsidRPr="0047393E">
        <w:t xml:space="preserve"> nonexpendable endowed trust accounts and </w:t>
      </w:r>
      <w:r w:rsidR="002F754B" w:rsidRPr="0047393E">
        <w:t>1</w:t>
      </w:r>
      <w:r w:rsidR="00E10965" w:rsidRPr="0047393E">
        <w:t>6</w:t>
      </w:r>
      <w:r w:rsidR="0047393E" w:rsidRPr="0047393E">
        <w:t>7</w:t>
      </w:r>
      <w:r w:rsidRPr="0047393E">
        <w:t xml:space="preserve"> expendable non-endowed trust accounts. Each</w:t>
      </w:r>
      <w:r w:rsidRPr="008C1B95">
        <w:t xml:space="preserve"> individual account was created for a specific purpose such as a scholarship and has terms of reference which govern the use of the funds. In addition, the University has institutional policies which govern the administration of the TEF with which each individual trust account must comply. </w:t>
      </w:r>
      <w:r w:rsidRPr="00FD1453">
        <w:t xml:space="preserve">As </w:t>
      </w:r>
      <w:proofErr w:type="gramStart"/>
      <w:r w:rsidRPr="00FD1453">
        <w:t>at</w:t>
      </w:r>
      <w:proofErr w:type="gramEnd"/>
      <w:r w:rsidRPr="00FD1453">
        <w:t xml:space="preserve"> December 31, </w:t>
      </w:r>
      <w:r w:rsidR="005D513F" w:rsidRPr="00FD1453">
        <w:t>202</w:t>
      </w:r>
      <w:r w:rsidR="00FD1453" w:rsidRPr="00FD1453">
        <w:t>3</w:t>
      </w:r>
      <w:r w:rsidRPr="00FD1453">
        <w:t>, the fair market value of the TEF was $</w:t>
      </w:r>
      <w:r w:rsidR="000305AF" w:rsidRPr="00FD1453">
        <w:t>1</w:t>
      </w:r>
      <w:r w:rsidR="00FD1453" w:rsidRPr="00FD1453">
        <w:t>42.0</w:t>
      </w:r>
      <w:r w:rsidRPr="00FD1453">
        <w:t xml:space="preserve"> million (</w:t>
      </w:r>
      <w:r w:rsidR="005D513F" w:rsidRPr="00FD1453">
        <w:t>20</w:t>
      </w:r>
      <w:r w:rsidR="00507A76" w:rsidRPr="00FD1453">
        <w:t>2</w:t>
      </w:r>
      <w:r w:rsidR="00FD1453" w:rsidRPr="00FD1453">
        <w:t>2</w:t>
      </w:r>
      <w:r w:rsidR="005D513F" w:rsidRPr="00FD1453">
        <w:t xml:space="preserve"> </w:t>
      </w:r>
      <w:r w:rsidRPr="00FD1453">
        <w:t xml:space="preserve">- </w:t>
      </w:r>
      <w:r w:rsidR="005D513F" w:rsidRPr="00FD1453">
        <w:t>$</w:t>
      </w:r>
      <w:r w:rsidR="000305AF" w:rsidRPr="00FD1453">
        <w:t>1</w:t>
      </w:r>
      <w:r w:rsidR="00FD1453" w:rsidRPr="00FD1453">
        <w:t>2</w:t>
      </w:r>
      <w:r w:rsidR="00D96131" w:rsidRPr="00FD1453">
        <w:t>8</w:t>
      </w:r>
      <w:r w:rsidR="006251A6" w:rsidRPr="00FD1453">
        <w:t>.</w:t>
      </w:r>
      <w:r w:rsidR="00FD1453" w:rsidRPr="00FD1453">
        <w:t>4</w:t>
      </w:r>
      <w:r w:rsidR="000305AF" w:rsidRPr="00FD1453">
        <w:t xml:space="preserve"> </w:t>
      </w:r>
      <w:r w:rsidRPr="00FD1453">
        <w:t xml:space="preserve">million). </w:t>
      </w:r>
      <w:r w:rsidR="005D513F" w:rsidRPr="00FD1453">
        <w:t>$</w:t>
      </w:r>
      <w:r w:rsidR="00D96131" w:rsidRPr="00FD1453">
        <w:t>1</w:t>
      </w:r>
      <w:r w:rsidR="00FD1453" w:rsidRPr="00FD1453">
        <w:t>39</w:t>
      </w:r>
      <w:r w:rsidR="000305AF" w:rsidRPr="00FD1453">
        <w:t>.</w:t>
      </w:r>
      <w:r w:rsidR="00FD1453" w:rsidRPr="00FD1453">
        <w:t>8</w:t>
      </w:r>
      <w:r w:rsidRPr="00FD1453">
        <w:t xml:space="preserve"> million of the TEF was managed by contracted professional investment managers and </w:t>
      </w:r>
      <w:r w:rsidR="005D513F" w:rsidRPr="00FD1453">
        <w:t>$</w:t>
      </w:r>
      <w:r w:rsidR="000305AF" w:rsidRPr="00FD1453">
        <w:t>2.</w:t>
      </w:r>
      <w:r w:rsidR="00FD1453" w:rsidRPr="00FD1453">
        <w:t>2</w:t>
      </w:r>
      <w:r w:rsidRPr="00FD1453">
        <w:t xml:space="preserve"> million was allocated to the UR Investing program in the Faculty of Business Administration.</w:t>
      </w:r>
    </w:p>
    <w:p w14:paraId="0FC21E06" w14:textId="77777777" w:rsidR="0078012E" w:rsidRPr="00A40578" w:rsidRDefault="0078012E">
      <w:pPr>
        <w:pStyle w:val="BodyText"/>
        <w:spacing w:before="5"/>
        <w:rPr>
          <w:sz w:val="21"/>
          <w:highlight w:val="yellow"/>
        </w:rPr>
      </w:pPr>
    </w:p>
    <w:p w14:paraId="25068859" w14:textId="77777777" w:rsidR="0078012E" w:rsidRPr="00FD1453" w:rsidRDefault="003E42C5" w:rsidP="009E20F7">
      <w:pPr>
        <w:pStyle w:val="BodyText"/>
        <w:spacing w:line="360" w:lineRule="auto"/>
        <w:ind w:left="100" w:right="698"/>
      </w:pPr>
      <w:r w:rsidRPr="00FD1453">
        <w:t xml:space="preserve">Oversight of the TEF is provided by the Trust &amp; Endowment Committee (TEC), which is a </w:t>
      </w:r>
      <w:proofErr w:type="gramStart"/>
      <w:r w:rsidRPr="00FD1453">
        <w:t>five person</w:t>
      </w:r>
      <w:proofErr w:type="gramEnd"/>
      <w:r w:rsidRPr="00FD1453">
        <w:t xml:space="preserve"> subcommittee reporting to the University of Regina Board of Governors.  TEC members are employees </w:t>
      </w:r>
      <w:r w:rsidR="00270308" w:rsidRPr="00FD1453">
        <w:t xml:space="preserve">and persons </w:t>
      </w:r>
      <w:r w:rsidRPr="00FD1453">
        <w:t>appointed by the Board of Governors. The TEC operates in accordance with terms of reference approved by the</w:t>
      </w:r>
      <w:r w:rsidRPr="00FD1453">
        <w:rPr>
          <w:spacing w:val="-30"/>
        </w:rPr>
        <w:t xml:space="preserve"> </w:t>
      </w:r>
      <w:r w:rsidRPr="00FD1453">
        <w:t>Board.</w:t>
      </w:r>
      <w:r w:rsidR="009E20F7" w:rsidRPr="00FD1453">
        <w:t xml:space="preserve">  </w:t>
      </w:r>
      <w:r w:rsidRPr="00FD1453">
        <w:t>The TEC makes operational decisions regarding the TEF and makes recommendations to the Board for approval on significant matters, in accordance with the terms of reference.</w:t>
      </w:r>
    </w:p>
    <w:p w14:paraId="06A992B5" w14:textId="77777777" w:rsidR="0078012E" w:rsidRPr="00A40578" w:rsidRDefault="0078012E">
      <w:pPr>
        <w:pStyle w:val="BodyText"/>
        <w:spacing w:before="5"/>
        <w:rPr>
          <w:sz w:val="21"/>
          <w:highlight w:val="yellow"/>
        </w:rPr>
      </w:pPr>
    </w:p>
    <w:p w14:paraId="326DCB19" w14:textId="42E6B65A" w:rsidR="0078012E" w:rsidRPr="00FD1453" w:rsidRDefault="003E42C5">
      <w:pPr>
        <w:pStyle w:val="BodyText"/>
        <w:spacing w:line="360" w:lineRule="auto"/>
        <w:ind w:left="100" w:right="746"/>
      </w:pPr>
      <w:r w:rsidRPr="00FD1453">
        <w:t>The TEC works closely with investment consultants</w:t>
      </w:r>
      <w:r w:rsidR="007079D1" w:rsidRPr="00FD1453">
        <w:t>,</w:t>
      </w:r>
      <w:r w:rsidRPr="00FD1453">
        <w:t xml:space="preserve"> Aon</w:t>
      </w:r>
      <w:r w:rsidR="007079D1" w:rsidRPr="00FD1453">
        <w:t>,</w:t>
      </w:r>
      <w:r w:rsidRPr="00FD1453">
        <w:t xml:space="preserve"> to monitor and manage the TEF. Annually, the Statement of Investment Policies and Goals is updated by </w:t>
      </w:r>
      <w:r w:rsidR="009E20F7" w:rsidRPr="00FD1453">
        <w:t xml:space="preserve">the </w:t>
      </w:r>
      <w:r w:rsidRPr="00FD1453">
        <w:t>TEC with the advice of Aon. The TEF portfolio consists of diversified investment accounts investing in domestic and international equities, fixed income</w:t>
      </w:r>
      <w:r w:rsidR="00FD1453" w:rsidRPr="00FD1453">
        <w:t xml:space="preserve">, </w:t>
      </w:r>
      <w:r w:rsidRPr="00FD1453">
        <w:t xml:space="preserve">real </w:t>
      </w:r>
      <w:proofErr w:type="gramStart"/>
      <w:r w:rsidRPr="00FD1453">
        <w:t>estat</w:t>
      </w:r>
      <w:r w:rsidR="00FD1453" w:rsidRPr="00FD1453">
        <w:t>e</w:t>
      </w:r>
      <w:proofErr w:type="gramEnd"/>
      <w:r w:rsidR="00FD1453" w:rsidRPr="00FD1453">
        <w:t xml:space="preserve"> and infrastructure</w:t>
      </w:r>
      <w:r w:rsidRPr="00FD1453">
        <w:t>. The goal of the annual update of investment asset mix is to obtain the required rate of return for the TEF within an acceptable level of investment risk. The primary long-term objective of the TEF is to generate a minimum annual</w:t>
      </w:r>
      <w:r w:rsidR="007079D1" w:rsidRPr="00FD1453">
        <w:t>ized</w:t>
      </w:r>
      <w:r w:rsidRPr="00FD1453">
        <w:t xml:space="preserve"> rate of return after inflation of 4% which is the rate necessary to support an annual expenditure of 4% of the endowed trust accounts in perpetuity. This objective enables endowed scholarship funds to pay out annual scholarships of 4% of the fund balance forever while maintaining the purchasing power of both the annual scholarship and the remaining trust fund balance.</w:t>
      </w:r>
    </w:p>
    <w:p w14:paraId="39155167" w14:textId="77777777" w:rsidR="0078012E" w:rsidRPr="00A40578" w:rsidRDefault="0078012E">
      <w:pPr>
        <w:pStyle w:val="BodyText"/>
        <w:spacing w:before="3"/>
        <w:rPr>
          <w:sz w:val="21"/>
          <w:highlight w:val="yellow"/>
        </w:rPr>
      </w:pPr>
    </w:p>
    <w:p w14:paraId="01E0B5A9" w14:textId="7F6FDAAA" w:rsidR="0078012E" w:rsidRPr="00A40578" w:rsidRDefault="003E42C5">
      <w:pPr>
        <w:pStyle w:val="BodyText"/>
        <w:spacing w:before="79" w:line="360" w:lineRule="auto"/>
        <w:ind w:left="100" w:right="1261"/>
        <w:rPr>
          <w:highlight w:val="yellow"/>
        </w:rPr>
      </w:pPr>
      <w:r w:rsidRPr="00FD1453">
        <w:t xml:space="preserve">Later in this report, investment returns are compared to “benchmark returns.” Those benchmark returns are established in relation to specific investment asset classes and economic circumstances to assess investment performance, but the underlying primary </w:t>
      </w:r>
      <w:r w:rsidRPr="00FD1453">
        <w:lastRenderedPageBreak/>
        <w:t xml:space="preserve">objective remains to generate a real rate of return of 4% per year. As </w:t>
      </w:r>
      <w:proofErr w:type="gramStart"/>
      <w:r w:rsidRPr="00FD1453">
        <w:t>at</w:t>
      </w:r>
      <w:proofErr w:type="gramEnd"/>
      <w:r w:rsidRPr="00FD1453">
        <w:t xml:space="preserve"> December 31, </w:t>
      </w:r>
      <w:r w:rsidR="005D513F" w:rsidRPr="00FD1453">
        <w:t>202</w:t>
      </w:r>
      <w:r w:rsidR="00FD1453" w:rsidRPr="00FD1453">
        <w:t>3</w:t>
      </w:r>
      <w:r w:rsidRPr="00FD1453">
        <w:t xml:space="preserve">, the TEF </w:t>
      </w:r>
      <w:r w:rsidR="007079D1" w:rsidRPr="00FD1453">
        <w:t xml:space="preserve">exceeded </w:t>
      </w:r>
      <w:r w:rsidRPr="00FD1453">
        <w:t>this primary objective over the ten year investment period</w:t>
      </w:r>
      <w:r w:rsidR="00D96131" w:rsidRPr="00FD1453">
        <w:t>, however failed to exceed over the four year</w:t>
      </w:r>
      <w:r w:rsidR="009E20F7" w:rsidRPr="00FD1453">
        <w:t xml:space="preserve"> period</w:t>
      </w:r>
      <w:r w:rsidRPr="00FD1453">
        <w:t>.</w:t>
      </w:r>
    </w:p>
    <w:p w14:paraId="24A5D4AF" w14:textId="77777777" w:rsidR="0078012E" w:rsidRPr="00A40578" w:rsidRDefault="0078012E">
      <w:pPr>
        <w:pStyle w:val="BodyText"/>
        <w:spacing w:before="5"/>
        <w:rPr>
          <w:sz w:val="21"/>
          <w:highlight w:val="yellow"/>
        </w:rPr>
      </w:pPr>
    </w:p>
    <w:p w14:paraId="08DD1193" w14:textId="77777777" w:rsidR="0078012E" w:rsidRPr="00FD1453" w:rsidRDefault="003E42C5">
      <w:pPr>
        <w:pStyle w:val="BodyText"/>
        <w:spacing w:before="1" w:line="360" w:lineRule="auto"/>
        <w:ind w:left="100" w:right="703"/>
      </w:pPr>
      <w:r w:rsidRPr="00FD1453">
        <w:t xml:space="preserve">Almost all TEF funds are invested as a pool of funds through several investment managers. </w:t>
      </w:r>
      <w:proofErr w:type="gramStart"/>
      <w:r w:rsidRPr="00FD1453">
        <w:t>The majority of</w:t>
      </w:r>
      <w:proofErr w:type="gramEnd"/>
      <w:r w:rsidRPr="00FD1453">
        <w:t xml:space="preserve"> the investment managers employed are also employed by the University of Regina Pension Master Trust Fund. By employing the same investment managers for the TEF and the University’s two defined benefit pension plans, each can be managed as separate funds, yet combined for investment manager fee calculations. This enables economies of scale to be reached which results in lower investment manager fees for both the TEF and the pension</w:t>
      </w:r>
      <w:r w:rsidRPr="00FD1453">
        <w:rPr>
          <w:spacing w:val="-2"/>
        </w:rPr>
        <w:t xml:space="preserve"> </w:t>
      </w:r>
      <w:r w:rsidRPr="00FD1453">
        <w:t>funds.</w:t>
      </w:r>
    </w:p>
    <w:p w14:paraId="23F7F046" w14:textId="77777777" w:rsidR="0078012E" w:rsidRPr="00A40578" w:rsidRDefault="0078012E">
      <w:pPr>
        <w:pStyle w:val="BodyText"/>
        <w:spacing w:before="3"/>
        <w:rPr>
          <w:sz w:val="21"/>
          <w:highlight w:val="yellow"/>
        </w:rPr>
      </w:pPr>
    </w:p>
    <w:p w14:paraId="79C965EC" w14:textId="74CFD868" w:rsidR="0078012E" w:rsidRPr="00FD1453" w:rsidRDefault="003E42C5">
      <w:pPr>
        <w:pStyle w:val="BodyText"/>
        <w:spacing w:line="360" w:lineRule="auto"/>
        <w:ind w:left="100" w:right="929"/>
      </w:pPr>
      <w:r w:rsidRPr="00FD1453">
        <w:t xml:space="preserve">The one exception to all TEF funds being invested as a pool is in relation to the UR Investing program. Specific trust funds have designated that part of its assets be invested by UR Investing, with the resulting investment gains or losses being attributed directly back to those specific trust funds. UR Investing assets and investment returns are not comingled with the other TEF assets. As </w:t>
      </w:r>
      <w:proofErr w:type="gramStart"/>
      <w:r w:rsidRPr="00FD1453">
        <w:t>at</w:t>
      </w:r>
      <w:proofErr w:type="gramEnd"/>
      <w:r w:rsidRPr="00FD1453">
        <w:t xml:space="preserve"> December 31, </w:t>
      </w:r>
      <w:r w:rsidR="005D513F" w:rsidRPr="00FD1453">
        <w:t>202</w:t>
      </w:r>
      <w:r w:rsidR="00FD1453">
        <w:t>3</w:t>
      </w:r>
      <w:r w:rsidR="005D513F" w:rsidRPr="00FD1453">
        <w:t>, $</w:t>
      </w:r>
      <w:r w:rsidR="000305AF" w:rsidRPr="00FD1453">
        <w:t>2.</w:t>
      </w:r>
      <w:r w:rsidR="00FD1453">
        <w:t>2</w:t>
      </w:r>
      <w:r w:rsidRPr="00FD1453">
        <w:t xml:space="preserve"> million of the TEF assets were managed by UR Investing.</w:t>
      </w:r>
    </w:p>
    <w:p w14:paraId="3E580D4A" w14:textId="77777777" w:rsidR="0078012E" w:rsidRPr="00A40578" w:rsidRDefault="0078012E">
      <w:pPr>
        <w:pStyle w:val="BodyText"/>
        <w:spacing w:before="3"/>
        <w:rPr>
          <w:sz w:val="21"/>
          <w:highlight w:val="yellow"/>
        </w:rPr>
      </w:pPr>
    </w:p>
    <w:p w14:paraId="5302A1C7" w14:textId="77777777" w:rsidR="0078012E" w:rsidRPr="00FD1453" w:rsidRDefault="003E42C5">
      <w:pPr>
        <w:pStyle w:val="BodyText"/>
        <w:spacing w:line="360" w:lineRule="auto"/>
        <w:ind w:left="100" w:right="703"/>
      </w:pPr>
      <w:r w:rsidRPr="00FD1453">
        <w:t xml:space="preserve">UR Investing is a program within the University of Regina Faculty of Business Administration. It is a structured program for degree credit which enables University students to learn about investments using real money and investing in real stock market investments through an external </w:t>
      </w:r>
      <w:r w:rsidR="00416155" w:rsidRPr="00FD1453">
        <w:t>stockbroker</w:t>
      </w:r>
      <w:r w:rsidRPr="00FD1453">
        <w:t>. The program is an example of the programs used to achieve the University’s strategic goal of providing students with experiential learning</w:t>
      </w:r>
      <w:r w:rsidRPr="00FD1453">
        <w:rPr>
          <w:spacing w:val="-14"/>
        </w:rPr>
        <w:t xml:space="preserve"> </w:t>
      </w:r>
      <w:r w:rsidRPr="00FD1453">
        <w:t>environments.</w:t>
      </w:r>
    </w:p>
    <w:p w14:paraId="27053D97" w14:textId="77777777" w:rsidR="0078012E" w:rsidRPr="00A40578" w:rsidRDefault="0078012E">
      <w:pPr>
        <w:pStyle w:val="BodyText"/>
        <w:spacing w:before="4"/>
        <w:rPr>
          <w:sz w:val="21"/>
          <w:highlight w:val="yellow"/>
        </w:rPr>
      </w:pPr>
    </w:p>
    <w:p w14:paraId="0F188BB9" w14:textId="77777777" w:rsidR="0078012E" w:rsidRDefault="003E42C5">
      <w:pPr>
        <w:pStyle w:val="BodyText"/>
        <w:spacing w:before="1" w:line="360" w:lineRule="auto"/>
        <w:ind w:left="100" w:right="749"/>
      </w:pPr>
      <w:r w:rsidRPr="008C1B95">
        <w:t>The remainder of this report has been written by investment consultants</w:t>
      </w:r>
      <w:r w:rsidR="007079D1" w:rsidRPr="008C1B95">
        <w:t>,</w:t>
      </w:r>
      <w:r w:rsidRPr="008C1B95">
        <w:t xml:space="preserve"> Aon. The report analyzes in detail the performance of the investment portfolio held by the TEF. The purpose of this analysis is to provide past, </w:t>
      </w:r>
      <w:proofErr w:type="gramStart"/>
      <w:r w:rsidRPr="008C1B95">
        <w:t>present</w:t>
      </w:r>
      <w:proofErr w:type="gramEnd"/>
      <w:r w:rsidRPr="008C1B95">
        <w:t xml:space="preserve"> and future benefactors to the University of Regina with information regarding the sound investment management practices employed by the University of Regina to ensure that the maximum benefit is derived from their gifts to the University.</w:t>
      </w:r>
    </w:p>
    <w:p w14:paraId="3BB4DEB9" w14:textId="77777777" w:rsidR="0078012E" w:rsidRDefault="0078012E">
      <w:pPr>
        <w:spacing w:line="360" w:lineRule="auto"/>
        <w:sectPr w:rsidR="0078012E">
          <w:footerReference w:type="default" r:id="rId9"/>
          <w:pgSz w:w="12240" w:h="15840"/>
          <w:pgMar w:top="1360" w:right="1120" w:bottom="1260" w:left="1340" w:header="0" w:footer="1060" w:gutter="0"/>
          <w:cols w:space="720"/>
        </w:sectPr>
      </w:pPr>
    </w:p>
    <w:p w14:paraId="24D1209F" w14:textId="0F1F0A45" w:rsidR="0078012E" w:rsidRPr="00DF7738" w:rsidRDefault="003E42C5" w:rsidP="004336C2">
      <w:pPr>
        <w:spacing w:before="78"/>
        <w:ind w:left="100"/>
        <w:rPr>
          <w:b/>
          <w:sz w:val="28"/>
        </w:rPr>
      </w:pPr>
      <w:r w:rsidRPr="00DF7738">
        <w:rPr>
          <w:b/>
          <w:sz w:val="28"/>
        </w:rPr>
        <w:lastRenderedPageBreak/>
        <w:t xml:space="preserve">Review of </w:t>
      </w:r>
      <w:r w:rsidR="008A7F67" w:rsidRPr="00FD1453">
        <w:rPr>
          <w:b/>
          <w:sz w:val="28"/>
        </w:rPr>
        <w:t>202</w:t>
      </w:r>
      <w:r w:rsidR="00FD1453" w:rsidRPr="00FD1453">
        <w:rPr>
          <w:b/>
          <w:sz w:val="28"/>
        </w:rPr>
        <w:t>3</w:t>
      </w:r>
      <w:r w:rsidR="008A7F67" w:rsidRPr="00DF7738">
        <w:rPr>
          <w:b/>
          <w:sz w:val="28"/>
        </w:rPr>
        <w:t xml:space="preserve"> </w:t>
      </w:r>
      <w:r w:rsidRPr="00DF7738">
        <w:rPr>
          <w:b/>
          <w:sz w:val="28"/>
        </w:rPr>
        <w:t>Investment Performance</w:t>
      </w:r>
    </w:p>
    <w:p w14:paraId="05DD3D32" w14:textId="77777777" w:rsidR="004336C2" w:rsidRPr="00DF7738" w:rsidRDefault="004336C2" w:rsidP="004336C2">
      <w:pPr>
        <w:pStyle w:val="BodyText"/>
        <w:spacing w:line="360" w:lineRule="auto"/>
        <w:ind w:left="100" w:right="929"/>
      </w:pPr>
    </w:p>
    <w:p w14:paraId="13815AF1" w14:textId="77777777" w:rsidR="0078012E" w:rsidRPr="00D23B87" w:rsidRDefault="003E42C5" w:rsidP="004336C2">
      <w:pPr>
        <w:pStyle w:val="BodyText"/>
        <w:spacing w:line="360" w:lineRule="auto"/>
        <w:ind w:left="100" w:right="929"/>
        <w:rPr>
          <w:b/>
          <w:bCs/>
        </w:rPr>
      </w:pPr>
      <w:r w:rsidRPr="00D23B87">
        <w:rPr>
          <w:b/>
          <w:bCs/>
        </w:rPr>
        <w:t>The Markets</w:t>
      </w:r>
    </w:p>
    <w:p w14:paraId="3D445896" w14:textId="4FE79580" w:rsidR="00D23B87" w:rsidRDefault="0080639A" w:rsidP="00D23B87">
      <w:pPr>
        <w:pStyle w:val="BodyText"/>
        <w:spacing w:line="360" w:lineRule="auto"/>
        <w:ind w:left="100" w:right="929"/>
      </w:pPr>
      <w:r w:rsidRPr="00D23B87">
        <w:t xml:space="preserve">After a difficult 2022, </w:t>
      </w:r>
      <w:r w:rsidR="00D23B87" w:rsidRPr="00D23B87">
        <w:t xml:space="preserve">global markets </w:t>
      </w:r>
      <w:r w:rsidRPr="00D23B87">
        <w:t xml:space="preserve">rebounded in 2023. </w:t>
      </w:r>
      <w:r w:rsidR="00D23B87" w:rsidRPr="00D23B87">
        <w:t>A major reason for the resurgence was monetary policy pauses by the major central banks and increasing expectations of rate</w:t>
      </w:r>
      <w:r w:rsidR="00D23B87">
        <w:t xml:space="preserve"> cuts in 2024.</w:t>
      </w:r>
      <w:r w:rsidR="00D23B87" w:rsidRPr="00D23B87">
        <w:t xml:space="preserve"> </w:t>
      </w:r>
      <w:r w:rsidR="00D23B87">
        <w:t>Another important factor was the strong leadership of a handful of U.S. technology stocks that have been boosted by the Artificial Intelligence theme. Heading into 2024, the likelihood of recession, the trajectory of inflation, and the extent of rates cuts will be the key focus areas for the markets.</w:t>
      </w:r>
    </w:p>
    <w:p w14:paraId="33C57334" w14:textId="77777777" w:rsidR="004336C2" w:rsidRPr="00416155" w:rsidRDefault="004336C2" w:rsidP="004336C2">
      <w:pPr>
        <w:pStyle w:val="BodyText"/>
        <w:spacing w:line="360" w:lineRule="auto"/>
        <w:ind w:left="100" w:right="929"/>
        <w:rPr>
          <w:b/>
          <w:bCs/>
        </w:rPr>
      </w:pPr>
    </w:p>
    <w:p w14:paraId="38E1619D" w14:textId="77777777" w:rsidR="0078012E" w:rsidRPr="00B32D40" w:rsidRDefault="003E42C5" w:rsidP="004336C2">
      <w:pPr>
        <w:pStyle w:val="BodyText"/>
        <w:spacing w:line="360" w:lineRule="auto"/>
        <w:ind w:left="100" w:right="929"/>
        <w:rPr>
          <w:b/>
          <w:bCs/>
        </w:rPr>
      </w:pPr>
      <w:r w:rsidRPr="00B32D40">
        <w:rPr>
          <w:b/>
          <w:bCs/>
        </w:rPr>
        <w:t>Equities</w:t>
      </w:r>
    </w:p>
    <w:p w14:paraId="585AF8EC" w14:textId="35892EC8" w:rsidR="005A7302" w:rsidRPr="00B32D40" w:rsidRDefault="00416155" w:rsidP="00B32D40">
      <w:pPr>
        <w:pStyle w:val="BodyText"/>
        <w:spacing w:line="360" w:lineRule="auto"/>
        <w:ind w:left="100" w:right="929"/>
      </w:pPr>
      <w:r w:rsidRPr="00B32D40">
        <w:t xml:space="preserve">Global equities generated </w:t>
      </w:r>
      <w:r w:rsidR="00FE1184" w:rsidRPr="00B32D40">
        <w:t>strongly positive</w:t>
      </w:r>
      <w:r w:rsidRPr="00B32D40">
        <w:t xml:space="preserve"> returns over the last twelve months</w:t>
      </w:r>
      <w:r w:rsidR="005A7302" w:rsidRPr="00B32D40">
        <w:t xml:space="preserve"> with the MSCI All Country World Index up 18.9%</w:t>
      </w:r>
      <w:r w:rsidRPr="00B32D40">
        <w:t xml:space="preserve">. </w:t>
      </w:r>
      <w:r w:rsidR="00B32D40" w:rsidRPr="00B32D40">
        <w:t>Returns were driven by a small number of stocks branded the “Magnificent 7”.  These seven stocks</w:t>
      </w:r>
      <w:r w:rsidR="00B32D40">
        <w:t>, Apple, Microsoft, Alphabet, Amazon, Nvidia, Meta Platforms and Tesla,</w:t>
      </w:r>
      <w:r w:rsidR="00B32D40" w:rsidRPr="00B32D40">
        <w:t xml:space="preserve"> accounted for 39% of the total </w:t>
      </w:r>
      <w:r w:rsidR="00B32D40">
        <w:t>MSCI ACW Index</w:t>
      </w:r>
      <w:r w:rsidR="00B32D40" w:rsidRPr="00B32D40">
        <w:t xml:space="preserve"> return in 2023, driven by Artificial Intelligence themes. </w:t>
      </w:r>
      <w:r w:rsidR="00B32D40">
        <w:t xml:space="preserve">U.S. Equities were the strongest region in the year, returning 26.3% in local currency terms, or 22.9% in Canadian dollar terms. </w:t>
      </w:r>
      <w:r w:rsidR="001519FE">
        <w:t>Domestic markets also did well, with the S&amp;P/TSX Composite returning 11.8%. As in the U.S., Information Technology was the strongest sector, returning 69%, with results driven by one single stock, Shopify, which returned 119% in the year, accounting for 20% of the Index return.</w:t>
      </w:r>
    </w:p>
    <w:p w14:paraId="20C3EC8E" w14:textId="77777777" w:rsidR="00106DFB" w:rsidRPr="00106DFB" w:rsidRDefault="00106DFB" w:rsidP="00106DFB">
      <w:pPr>
        <w:pStyle w:val="BodyText"/>
        <w:spacing w:line="360" w:lineRule="auto"/>
        <w:ind w:left="100" w:right="929"/>
      </w:pPr>
    </w:p>
    <w:p w14:paraId="1756BCC2" w14:textId="77777777" w:rsidR="0078012E" w:rsidRPr="008561C6" w:rsidRDefault="003E42C5" w:rsidP="004336C2">
      <w:pPr>
        <w:pStyle w:val="BodyText"/>
        <w:spacing w:line="360" w:lineRule="auto"/>
        <w:ind w:left="100" w:right="929"/>
        <w:rPr>
          <w:b/>
          <w:bCs/>
        </w:rPr>
      </w:pPr>
      <w:r w:rsidRPr="008561C6">
        <w:rPr>
          <w:b/>
          <w:bCs/>
        </w:rPr>
        <w:t>Fixed Income</w:t>
      </w:r>
    </w:p>
    <w:p w14:paraId="759428A7" w14:textId="3C85333F" w:rsidR="004336C2" w:rsidRPr="00D96131" w:rsidRDefault="008561C6" w:rsidP="00106DFB">
      <w:pPr>
        <w:pStyle w:val="BodyText"/>
        <w:spacing w:line="360" w:lineRule="auto"/>
        <w:ind w:left="100" w:right="929"/>
      </w:pPr>
      <w:r>
        <w:t>B</w:t>
      </w:r>
      <w:r w:rsidRPr="008561C6">
        <w:t xml:space="preserve">ond yields ended </w:t>
      </w:r>
      <w:r w:rsidR="00AD297F">
        <w:t>2023</w:t>
      </w:r>
      <w:r w:rsidRPr="008561C6">
        <w:t xml:space="preserve"> near the same level they started</w:t>
      </w:r>
      <w:r w:rsidR="00AD297F">
        <w:t>, with the</w:t>
      </w:r>
      <w:r w:rsidR="0053656C">
        <w:t xml:space="preserve"> yield for the FTSE Canada</w:t>
      </w:r>
      <w:r w:rsidR="00AD297F">
        <w:t xml:space="preserve"> </w:t>
      </w:r>
      <w:r w:rsidR="0053656C">
        <w:t>Universe Bond Index</w:t>
      </w:r>
      <w:r w:rsidR="00AD297F">
        <w:t xml:space="preserve"> falling from 4.28% at the end of 2022 to </w:t>
      </w:r>
      <w:r w:rsidRPr="008561C6">
        <w:t>3.94% at the end of 2023</w:t>
      </w:r>
      <w:r w:rsidR="00AD297F">
        <w:t>. H</w:t>
      </w:r>
      <w:r>
        <w:t>owever</w:t>
      </w:r>
      <w:r w:rsidR="00AD297F">
        <w:t>,</w:t>
      </w:r>
      <w:r>
        <w:t xml:space="preserve"> it</w:t>
      </w:r>
      <w:r w:rsidRPr="008561C6">
        <w:t xml:space="preserve"> was a volatile year for bonds as yields moved meaningfully throughout the year, as see in the chart below. Yield shifts during the year reflected the market’s view on interest rate expectations and monetary policy. </w:t>
      </w:r>
      <w:r w:rsidR="00AD297F">
        <w:t xml:space="preserve">After raising rates three times in the first half of the year, the Bank of Canada held rates steady at 5% citing growing evidence that past rate hikes are having their intended effect on the economy and inflation. </w:t>
      </w:r>
      <w:r w:rsidR="00416155" w:rsidRPr="008561C6">
        <w:t>Overall,</w:t>
      </w:r>
      <w:r w:rsidR="002A10F3" w:rsidRPr="008561C6">
        <w:t xml:space="preserve"> the FTSE Canada Universe Bond Index returned </w:t>
      </w:r>
      <w:r w:rsidRPr="008561C6">
        <w:t>6.7</w:t>
      </w:r>
      <w:r w:rsidR="002A10F3" w:rsidRPr="008561C6">
        <w:t>% in 202</w:t>
      </w:r>
      <w:r w:rsidRPr="008561C6">
        <w:t>3</w:t>
      </w:r>
      <w:r w:rsidR="002A10F3" w:rsidRPr="008561C6">
        <w:t>.</w:t>
      </w:r>
      <w:r w:rsidR="002A10F3" w:rsidRPr="00D96131">
        <w:t xml:space="preserve"> </w:t>
      </w:r>
    </w:p>
    <w:p w14:paraId="4FE88820" w14:textId="4D9ADD25" w:rsidR="004336C2" w:rsidRDefault="00991014" w:rsidP="004336C2">
      <w:pPr>
        <w:pStyle w:val="BodyText"/>
        <w:spacing w:line="360" w:lineRule="auto"/>
        <w:ind w:left="100" w:right="929"/>
      </w:pPr>
      <w:r>
        <w:rPr>
          <w:noProof/>
          <w:lang w:eastAsia="ja-JP" w:bidi="ar-SA"/>
        </w:rPr>
        <w:lastRenderedPageBreak/>
        <w:drawing>
          <wp:inline distT="0" distB="0" distL="0" distR="0" wp14:anchorId="5E69E25A" wp14:editId="2EC12CE5">
            <wp:extent cx="5534108" cy="2329732"/>
            <wp:effectExtent l="0" t="0" r="0" b="13970"/>
            <wp:docPr id="5" name="Chart 5">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EA3BBB" w14:textId="77777777" w:rsidR="0053656C" w:rsidRDefault="0053656C" w:rsidP="008C1B95">
      <w:pPr>
        <w:pStyle w:val="BodyText"/>
        <w:spacing w:line="360" w:lineRule="auto"/>
        <w:ind w:right="929" w:firstLine="100"/>
        <w:rPr>
          <w:b/>
          <w:bCs/>
        </w:rPr>
      </w:pPr>
    </w:p>
    <w:p w14:paraId="738A02AC" w14:textId="5D0BC0A4" w:rsidR="004336C2" w:rsidRPr="00AD297F" w:rsidRDefault="004336C2" w:rsidP="008C1B95">
      <w:pPr>
        <w:pStyle w:val="BodyText"/>
        <w:spacing w:line="360" w:lineRule="auto"/>
        <w:ind w:right="929" w:firstLine="100"/>
        <w:rPr>
          <w:b/>
          <w:bCs/>
        </w:rPr>
      </w:pPr>
      <w:r w:rsidRPr="00AD297F">
        <w:rPr>
          <w:b/>
          <w:bCs/>
        </w:rPr>
        <w:t>Canadian Real Estate</w:t>
      </w:r>
    </w:p>
    <w:p w14:paraId="73D7C42A" w14:textId="0AC147D9" w:rsidR="006B0DC4" w:rsidRDefault="004336C2" w:rsidP="003E4610">
      <w:pPr>
        <w:pStyle w:val="BodyText"/>
        <w:spacing w:line="360" w:lineRule="auto"/>
        <w:ind w:left="100" w:right="929"/>
      </w:pPr>
      <w:r w:rsidRPr="00AD297F">
        <w:t>The Canadian commercial real estate market pos</w:t>
      </w:r>
      <w:r w:rsidR="003E4610" w:rsidRPr="00AD297F">
        <w:t>ted</w:t>
      </w:r>
      <w:r w:rsidRPr="00AD297F">
        <w:t xml:space="preserve"> </w:t>
      </w:r>
      <w:r w:rsidR="00AD297F" w:rsidRPr="00AD297F">
        <w:t>a 0.0</w:t>
      </w:r>
      <w:r w:rsidRPr="00AD297F">
        <w:t>% return (MSCI/REAL PAC Annual Property Index) in 202</w:t>
      </w:r>
      <w:r w:rsidR="00AD297F" w:rsidRPr="00AD297F">
        <w:t>3</w:t>
      </w:r>
      <w:r w:rsidRPr="00AD297F">
        <w:t>.</w:t>
      </w:r>
      <w:r w:rsidR="002A10F3" w:rsidRPr="00AD297F">
        <w:t xml:space="preserve"> With the MSCI/</w:t>
      </w:r>
      <w:proofErr w:type="spellStart"/>
      <w:r w:rsidR="002A10F3" w:rsidRPr="00AD297F">
        <w:t>REALpac</w:t>
      </w:r>
      <w:proofErr w:type="spellEnd"/>
      <w:r w:rsidR="002A10F3" w:rsidRPr="00AD297F">
        <w:t xml:space="preserve"> Canada Quarterly Property Fund Index returning a</w:t>
      </w:r>
      <w:r w:rsidR="003E4610" w:rsidRPr="00AD297F">
        <w:t xml:space="preserve"> </w:t>
      </w:r>
      <w:r w:rsidR="00AD297F" w:rsidRPr="00AD297F">
        <w:t>weaker</w:t>
      </w:r>
      <w:r w:rsidR="002A10F3" w:rsidRPr="00AD297F">
        <w:t xml:space="preserve"> </w:t>
      </w:r>
      <w:r w:rsidR="00AD297F" w:rsidRPr="00AD297F">
        <w:t>-2.0</w:t>
      </w:r>
      <w:r w:rsidR="002A10F3" w:rsidRPr="00AD297F">
        <w:t xml:space="preserve">% return in the year. </w:t>
      </w:r>
      <w:r w:rsidR="006B0DC4">
        <w:t xml:space="preserve">Rising capitalization rates </w:t>
      </w:r>
      <w:r w:rsidR="00B00B85">
        <w:t xml:space="preserve">and headwinds in office properties, along with macro-economic uncertainty drove negative returns in the real estate market. </w:t>
      </w:r>
    </w:p>
    <w:p w14:paraId="4B19155B" w14:textId="77777777" w:rsidR="00B00B85" w:rsidRDefault="00B00B85" w:rsidP="003E4610">
      <w:pPr>
        <w:pStyle w:val="BodyText"/>
        <w:spacing w:line="360" w:lineRule="auto"/>
        <w:ind w:left="100" w:right="929"/>
        <w:rPr>
          <w:b/>
          <w:bCs/>
        </w:rPr>
      </w:pPr>
    </w:p>
    <w:p w14:paraId="6DD62F1D" w14:textId="33EDF692" w:rsidR="003E4610" w:rsidRPr="00B37B2A" w:rsidRDefault="003E4610" w:rsidP="003E4610">
      <w:pPr>
        <w:pStyle w:val="BodyText"/>
        <w:spacing w:line="360" w:lineRule="auto"/>
        <w:ind w:left="100" w:right="929"/>
        <w:rPr>
          <w:b/>
          <w:bCs/>
        </w:rPr>
      </w:pPr>
      <w:r w:rsidRPr="00B37B2A">
        <w:rPr>
          <w:b/>
          <w:bCs/>
        </w:rPr>
        <w:t xml:space="preserve">Global </w:t>
      </w:r>
      <w:r w:rsidR="00263A25" w:rsidRPr="00B37B2A">
        <w:rPr>
          <w:b/>
          <w:bCs/>
        </w:rPr>
        <w:t>Infrastructure</w:t>
      </w:r>
    </w:p>
    <w:p w14:paraId="4CDA4AEB" w14:textId="4CD333BE" w:rsidR="00BF2BE2" w:rsidRDefault="00B37B2A" w:rsidP="00BF2BE2">
      <w:pPr>
        <w:pStyle w:val="BodyText"/>
        <w:spacing w:line="360" w:lineRule="auto"/>
        <w:ind w:left="100" w:right="929"/>
      </w:pPr>
      <w:r w:rsidRPr="00B37B2A">
        <w:t xml:space="preserve">The </w:t>
      </w:r>
      <w:r w:rsidR="00263A25" w:rsidRPr="00B37B2A">
        <w:t xml:space="preserve">Global infrastructure </w:t>
      </w:r>
      <w:r w:rsidR="003E4610" w:rsidRPr="00B37B2A">
        <w:t xml:space="preserve">market posted </w:t>
      </w:r>
      <w:r w:rsidRPr="00B37B2A">
        <w:t xml:space="preserve">a </w:t>
      </w:r>
      <w:r w:rsidR="00B00B85" w:rsidRPr="00B37B2A">
        <w:t>1.7</w:t>
      </w:r>
      <w:r w:rsidR="003E4610" w:rsidRPr="00B37B2A">
        <w:t>% return (</w:t>
      </w:r>
      <w:r w:rsidR="00263A25" w:rsidRPr="00B37B2A">
        <w:t>DJ Brookfield Global Infrastructure Index</w:t>
      </w:r>
      <w:r w:rsidR="003E4610" w:rsidRPr="00B37B2A">
        <w:t>) in 202</w:t>
      </w:r>
      <w:r w:rsidR="00B00B85" w:rsidRPr="00B37B2A">
        <w:t>3</w:t>
      </w:r>
      <w:r w:rsidR="003E4610" w:rsidRPr="00B37B2A">
        <w:t xml:space="preserve">. </w:t>
      </w:r>
      <w:r w:rsidRPr="00B37B2A">
        <w:t xml:space="preserve">High inflation and higher than normal interest rates were themes for the year, leading to difficult market conditions for Infrastructure investors. </w:t>
      </w:r>
      <w:r w:rsidR="00BF2BE2" w:rsidRPr="00B37B2A">
        <w:t xml:space="preserve"> </w:t>
      </w:r>
      <w:r w:rsidR="00AF57B3">
        <w:t xml:space="preserve"> </w:t>
      </w:r>
    </w:p>
    <w:p w14:paraId="6D78FC0D" w14:textId="77777777" w:rsidR="003E4610" w:rsidRDefault="003E4610" w:rsidP="003E4610">
      <w:pPr>
        <w:pStyle w:val="BodyText"/>
        <w:spacing w:line="360" w:lineRule="auto"/>
        <w:ind w:right="929"/>
      </w:pPr>
    </w:p>
    <w:p w14:paraId="556A6107" w14:textId="77777777" w:rsidR="003E4610" w:rsidRDefault="003E4610" w:rsidP="003E4610">
      <w:pPr>
        <w:pStyle w:val="BodyText"/>
        <w:spacing w:line="360" w:lineRule="auto"/>
        <w:ind w:right="929"/>
      </w:pPr>
    </w:p>
    <w:p w14:paraId="6D192F5E" w14:textId="77777777" w:rsidR="003E4610" w:rsidRDefault="003E4610" w:rsidP="003E4610">
      <w:pPr>
        <w:pStyle w:val="BodyText"/>
        <w:spacing w:line="360" w:lineRule="auto"/>
        <w:ind w:right="929"/>
        <w:sectPr w:rsidR="003E4610">
          <w:pgSz w:w="12240" w:h="15840"/>
          <w:pgMar w:top="1360" w:right="1120" w:bottom="1260" w:left="1340" w:header="0" w:footer="1060" w:gutter="0"/>
          <w:cols w:space="720"/>
        </w:sectPr>
      </w:pPr>
    </w:p>
    <w:p w14:paraId="7A3B2394" w14:textId="77777777" w:rsidR="0078012E" w:rsidRPr="0021161E" w:rsidRDefault="003E42C5">
      <w:pPr>
        <w:pStyle w:val="Heading3"/>
      </w:pPr>
      <w:r w:rsidRPr="0021161E">
        <w:lastRenderedPageBreak/>
        <w:t>Plan Overview</w:t>
      </w:r>
    </w:p>
    <w:p w14:paraId="49D0DD7A" w14:textId="77777777" w:rsidR="0078012E" w:rsidRPr="0021161E" w:rsidRDefault="0078012E">
      <w:pPr>
        <w:pStyle w:val="BodyText"/>
        <w:rPr>
          <w:b/>
          <w:sz w:val="22"/>
        </w:rPr>
      </w:pPr>
    </w:p>
    <w:p w14:paraId="6CCD5CC5" w14:textId="66802DE2" w:rsidR="0078012E" w:rsidRPr="0021161E" w:rsidRDefault="003E42C5">
      <w:pPr>
        <w:ind w:left="100"/>
        <w:rPr>
          <w:b/>
          <w:i/>
          <w:sz w:val="25"/>
        </w:rPr>
      </w:pPr>
      <w:r w:rsidRPr="0021161E">
        <w:rPr>
          <w:b/>
          <w:i/>
          <w:sz w:val="25"/>
        </w:rPr>
        <w:t xml:space="preserve">Investment Performance (excluding UR Investing) - </w:t>
      </w:r>
      <w:r w:rsidR="00C54975" w:rsidRPr="008C1B95">
        <w:rPr>
          <w:b/>
          <w:i/>
          <w:sz w:val="25"/>
        </w:rPr>
        <w:t>202</w:t>
      </w:r>
      <w:r w:rsidR="008C1B95" w:rsidRPr="008C1B95">
        <w:rPr>
          <w:b/>
          <w:i/>
          <w:sz w:val="25"/>
        </w:rPr>
        <w:t>3</w:t>
      </w:r>
    </w:p>
    <w:p w14:paraId="1D6CEE66" w14:textId="77777777" w:rsidR="0078012E" w:rsidRPr="0021161E" w:rsidRDefault="0078012E">
      <w:pPr>
        <w:pStyle w:val="BodyText"/>
        <w:spacing w:before="7"/>
        <w:rPr>
          <w:b/>
          <w:i/>
          <w:sz w:val="22"/>
        </w:rPr>
      </w:pPr>
    </w:p>
    <w:p w14:paraId="77028A34" w14:textId="0A0A49F7" w:rsidR="0078012E" w:rsidRPr="008C1B95" w:rsidRDefault="003E42C5">
      <w:pPr>
        <w:pStyle w:val="ListParagraph"/>
        <w:numPr>
          <w:ilvl w:val="0"/>
          <w:numId w:val="1"/>
        </w:numPr>
        <w:tabs>
          <w:tab w:val="left" w:pos="384"/>
        </w:tabs>
        <w:rPr>
          <w:sz w:val="24"/>
        </w:rPr>
      </w:pPr>
      <w:r w:rsidRPr="008C1B95">
        <w:rPr>
          <w:sz w:val="24"/>
        </w:rPr>
        <w:t xml:space="preserve">The University of Regina Trust and Endowment return was </w:t>
      </w:r>
      <w:r w:rsidR="008C1B95" w:rsidRPr="008C1B95">
        <w:rPr>
          <w:sz w:val="24"/>
        </w:rPr>
        <w:t>10.5</w:t>
      </w:r>
      <w:r w:rsidRPr="008C1B95">
        <w:rPr>
          <w:sz w:val="24"/>
        </w:rPr>
        <w:t>% in</w:t>
      </w:r>
      <w:r w:rsidRPr="008C1B95">
        <w:rPr>
          <w:spacing w:val="-9"/>
          <w:sz w:val="24"/>
        </w:rPr>
        <w:t xml:space="preserve"> </w:t>
      </w:r>
      <w:r w:rsidR="00911D49" w:rsidRPr="008C1B95">
        <w:rPr>
          <w:sz w:val="24"/>
        </w:rPr>
        <w:t>202</w:t>
      </w:r>
      <w:r w:rsidR="008C1B95" w:rsidRPr="008C1B95">
        <w:rPr>
          <w:sz w:val="24"/>
        </w:rPr>
        <w:t>3</w:t>
      </w:r>
      <w:r w:rsidRPr="008C1B95">
        <w:rPr>
          <w:sz w:val="24"/>
        </w:rPr>
        <w:t>.</w:t>
      </w:r>
    </w:p>
    <w:p w14:paraId="377CF436" w14:textId="0AD904BE" w:rsidR="0078012E" w:rsidRPr="008C1B95" w:rsidRDefault="003E42C5">
      <w:pPr>
        <w:pStyle w:val="ListParagraph"/>
        <w:numPr>
          <w:ilvl w:val="0"/>
          <w:numId w:val="1"/>
        </w:numPr>
        <w:tabs>
          <w:tab w:val="left" w:pos="384"/>
        </w:tabs>
        <w:spacing w:before="135" w:line="352" w:lineRule="auto"/>
        <w:ind w:right="847"/>
        <w:rPr>
          <w:sz w:val="24"/>
        </w:rPr>
      </w:pPr>
      <w:r w:rsidRPr="008C1B95">
        <w:rPr>
          <w:sz w:val="24"/>
        </w:rPr>
        <w:t>The Total Fund return</w:t>
      </w:r>
      <w:r w:rsidR="007621FA" w:rsidRPr="008C1B95">
        <w:rPr>
          <w:sz w:val="24"/>
        </w:rPr>
        <w:t xml:space="preserve"> lagged</w:t>
      </w:r>
      <w:r w:rsidR="00911D49" w:rsidRPr="008C1B95">
        <w:rPr>
          <w:sz w:val="24"/>
        </w:rPr>
        <w:t xml:space="preserve"> the</w:t>
      </w:r>
      <w:r w:rsidR="007621FA" w:rsidRPr="008C1B95">
        <w:rPr>
          <w:sz w:val="24"/>
        </w:rPr>
        <w:t xml:space="preserve"> </w:t>
      </w:r>
      <w:r w:rsidR="008C1B95" w:rsidRPr="008C1B95">
        <w:rPr>
          <w:sz w:val="24"/>
        </w:rPr>
        <w:t>10.9</w:t>
      </w:r>
      <w:r w:rsidR="00911D49" w:rsidRPr="008C1B95">
        <w:rPr>
          <w:sz w:val="24"/>
        </w:rPr>
        <w:t>%</w:t>
      </w:r>
      <w:r w:rsidRPr="008C1B95">
        <w:rPr>
          <w:sz w:val="24"/>
        </w:rPr>
        <w:t xml:space="preserve"> benchmark return. </w:t>
      </w:r>
      <w:r w:rsidR="00A422AF" w:rsidRPr="008C1B95">
        <w:rPr>
          <w:sz w:val="24"/>
        </w:rPr>
        <w:t xml:space="preserve">Value </w:t>
      </w:r>
      <w:r w:rsidR="001208EE">
        <w:rPr>
          <w:sz w:val="24"/>
        </w:rPr>
        <w:t>subtracted</w:t>
      </w:r>
      <w:r w:rsidR="007621FA" w:rsidRPr="008C1B95">
        <w:rPr>
          <w:sz w:val="24"/>
        </w:rPr>
        <w:t xml:space="preserve"> </w:t>
      </w:r>
      <w:r w:rsidR="00A422AF" w:rsidRPr="008C1B95">
        <w:rPr>
          <w:sz w:val="24"/>
        </w:rPr>
        <w:t>was driven by asset allocation</w:t>
      </w:r>
      <w:r w:rsidR="007621FA" w:rsidRPr="008C1B95">
        <w:rPr>
          <w:sz w:val="24"/>
        </w:rPr>
        <w:t xml:space="preserve"> and </w:t>
      </w:r>
      <w:r w:rsidR="00A422AF" w:rsidRPr="008C1B95">
        <w:rPr>
          <w:sz w:val="24"/>
        </w:rPr>
        <w:t xml:space="preserve">with the Fund </w:t>
      </w:r>
      <w:r w:rsidR="008C1B95">
        <w:rPr>
          <w:sz w:val="24"/>
        </w:rPr>
        <w:t>over</w:t>
      </w:r>
      <w:r w:rsidR="007621FA" w:rsidRPr="008C1B95">
        <w:rPr>
          <w:sz w:val="24"/>
        </w:rPr>
        <w:t xml:space="preserve">weight </w:t>
      </w:r>
      <w:r w:rsidR="008C1B95">
        <w:rPr>
          <w:sz w:val="24"/>
        </w:rPr>
        <w:t>Real Estate</w:t>
      </w:r>
      <w:r w:rsidR="007621FA" w:rsidRPr="008C1B95">
        <w:rPr>
          <w:sz w:val="24"/>
        </w:rPr>
        <w:t xml:space="preserve"> </w:t>
      </w:r>
      <w:r w:rsidR="00DA689E">
        <w:rPr>
          <w:sz w:val="24"/>
        </w:rPr>
        <w:t xml:space="preserve">in a strong equity and bond market, </w:t>
      </w:r>
      <w:r w:rsidR="00A422AF" w:rsidRPr="008C1B95">
        <w:rPr>
          <w:sz w:val="24"/>
        </w:rPr>
        <w:t xml:space="preserve">and </w:t>
      </w:r>
      <w:r w:rsidR="001208EE">
        <w:rPr>
          <w:sz w:val="24"/>
        </w:rPr>
        <w:t>weak</w:t>
      </w:r>
      <w:r w:rsidR="00DA689E">
        <w:rPr>
          <w:sz w:val="24"/>
        </w:rPr>
        <w:t xml:space="preserve"> </w:t>
      </w:r>
      <w:r w:rsidR="007621FA" w:rsidRPr="008C1B95">
        <w:rPr>
          <w:sz w:val="24"/>
        </w:rPr>
        <w:t xml:space="preserve">performance in </w:t>
      </w:r>
      <w:r w:rsidR="008C1B95">
        <w:rPr>
          <w:sz w:val="24"/>
        </w:rPr>
        <w:t>Infrastructure</w:t>
      </w:r>
      <w:r w:rsidR="00DA689E">
        <w:rPr>
          <w:sz w:val="24"/>
        </w:rPr>
        <w:t xml:space="preserve"> relative to the CPI + 5% benchmark</w:t>
      </w:r>
      <w:r w:rsidR="007621FA" w:rsidRPr="008C1B95">
        <w:rPr>
          <w:sz w:val="24"/>
        </w:rPr>
        <w:t>.</w:t>
      </w:r>
    </w:p>
    <w:p w14:paraId="4FB19741" w14:textId="77777777" w:rsidR="0078012E" w:rsidRPr="008C1B95" w:rsidRDefault="00911D49">
      <w:pPr>
        <w:pStyle w:val="ListParagraph"/>
        <w:numPr>
          <w:ilvl w:val="0"/>
          <w:numId w:val="1"/>
        </w:numPr>
        <w:tabs>
          <w:tab w:val="left" w:pos="384"/>
        </w:tabs>
        <w:spacing w:before="11"/>
        <w:rPr>
          <w:sz w:val="24"/>
        </w:rPr>
      </w:pPr>
      <w:r w:rsidRPr="008C1B95">
        <w:rPr>
          <w:sz w:val="24"/>
        </w:rPr>
        <w:t xml:space="preserve">Asset </w:t>
      </w:r>
      <w:r w:rsidR="003E42C5" w:rsidRPr="008C1B95">
        <w:rPr>
          <w:sz w:val="24"/>
        </w:rPr>
        <w:t>class</w:t>
      </w:r>
      <w:r w:rsidRPr="008C1B95">
        <w:rPr>
          <w:sz w:val="24"/>
        </w:rPr>
        <w:t xml:space="preserve"> results</w:t>
      </w:r>
      <w:r w:rsidR="003E42C5" w:rsidRPr="008C1B95">
        <w:rPr>
          <w:spacing w:val="-6"/>
          <w:sz w:val="24"/>
        </w:rPr>
        <w:t xml:space="preserve"> </w:t>
      </w:r>
      <w:r w:rsidR="003E42C5" w:rsidRPr="008C1B95">
        <w:rPr>
          <w:sz w:val="24"/>
        </w:rPr>
        <w:t>included:</w:t>
      </w:r>
    </w:p>
    <w:p w14:paraId="6B047812" w14:textId="48DF43D7" w:rsidR="0078012E" w:rsidRPr="003E77F1" w:rsidRDefault="003E42C5">
      <w:pPr>
        <w:pStyle w:val="ListParagraph"/>
        <w:numPr>
          <w:ilvl w:val="1"/>
          <w:numId w:val="1"/>
        </w:numPr>
        <w:tabs>
          <w:tab w:val="left" w:pos="667"/>
        </w:tabs>
        <w:spacing w:before="254" w:line="360" w:lineRule="auto"/>
        <w:ind w:right="774"/>
        <w:rPr>
          <w:sz w:val="24"/>
        </w:rPr>
      </w:pPr>
      <w:r w:rsidRPr="008836B9">
        <w:rPr>
          <w:sz w:val="24"/>
        </w:rPr>
        <w:t xml:space="preserve">Canadian </w:t>
      </w:r>
      <w:r w:rsidR="00911D49" w:rsidRPr="008836B9">
        <w:rPr>
          <w:sz w:val="24"/>
        </w:rPr>
        <w:t>E</w:t>
      </w:r>
      <w:r w:rsidRPr="008836B9">
        <w:rPr>
          <w:sz w:val="24"/>
        </w:rPr>
        <w:t>quities</w:t>
      </w:r>
      <w:r w:rsidR="00911D49" w:rsidRPr="008836B9">
        <w:rPr>
          <w:sz w:val="24"/>
        </w:rPr>
        <w:t xml:space="preserve"> – </w:t>
      </w:r>
      <w:r w:rsidRPr="008836B9">
        <w:rPr>
          <w:sz w:val="24"/>
        </w:rPr>
        <w:t>PH&amp;N</w:t>
      </w:r>
      <w:r w:rsidR="00911D49" w:rsidRPr="008836B9">
        <w:rPr>
          <w:sz w:val="24"/>
        </w:rPr>
        <w:t>’s</w:t>
      </w:r>
      <w:r w:rsidR="00754520" w:rsidRPr="008836B9">
        <w:rPr>
          <w:sz w:val="24"/>
        </w:rPr>
        <w:t xml:space="preserve"> </w:t>
      </w:r>
      <w:r w:rsidR="008C1B95" w:rsidRPr="008836B9">
        <w:rPr>
          <w:sz w:val="24"/>
        </w:rPr>
        <w:t>12.5</w:t>
      </w:r>
      <w:r w:rsidR="00911D49" w:rsidRPr="008836B9">
        <w:rPr>
          <w:sz w:val="24"/>
        </w:rPr>
        <w:t xml:space="preserve">% return exceeded the </w:t>
      </w:r>
      <w:r w:rsidR="008C1B95" w:rsidRPr="008836B9">
        <w:rPr>
          <w:sz w:val="24"/>
        </w:rPr>
        <w:t>11.8</w:t>
      </w:r>
      <w:r w:rsidR="00911D49" w:rsidRPr="008836B9">
        <w:rPr>
          <w:sz w:val="24"/>
        </w:rPr>
        <w:t xml:space="preserve">% S&amp;P/TSX Composite </w:t>
      </w:r>
      <w:r w:rsidR="00911D49" w:rsidRPr="003E77F1">
        <w:rPr>
          <w:sz w:val="24"/>
        </w:rPr>
        <w:t xml:space="preserve">Index, while </w:t>
      </w:r>
      <w:r w:rsidRPr="003E77F1">
        <w:rPr>
          <w:sz w:val="24"/>
        </w:rPr>
        <w:t xml:space="preserve">Mawer </w:t>
      </w:r>
      <w:r w:rsidR="008C1B95" w:rsidRPr="003E77F1">
        <w:rPr>
          <w:sz w:val="24"/>
        </w:rPr>
        <w:t>lagged</w:t>
      </w:r>
      <w:r w:rsidR="00C1665E" w:rsidRPr="003E77F1">
        <w:rPr>
          <w:sz w:val="24"/>
        </w:rPr>
        <w:t xml:space="preserve"> the </w:t>
      </w:r>
      <w:r w:rsidR="003A16C0" w:rsidRPr="003E77F1">
        <w:rPr>
          <w:sz w:val="24"/>
        </w:rPr>
        <w:t>Index</w:t>
      </w:r>
      <w:r w:rsidR="00911D49" w:rsidRPr="003E77F1">
        <w:rPr>
          <w:sz w:val="24"/>
        </w:rPr>
        <w:t xml:space="preserve">, earning </w:t>
      </w:r>
      <w:r w:rsidR="008C1B95" w:rsidRPr="003E77F1">
        <w:rPr>
          <w:sz w:val="24"/>
        </w:rPr>
        <w:t>10.5</w:t>
      </w:r>
      <w:r w:rsidRPr="003E77F1">
        <w:rPr>
          <w:sz w:val="24"/>
        </w:rPr>
        <w:t>%</w:t>
      </w:r>
      <w:r w:rsidR="007079D1" w:rsidRPr="003E77F1">
        <w:rPr>
          <w:sz w:val="24"/>
        </w:rPr>
        <w:t>.</w:t>
      </w:r>
      <w:r w:rsidRPr="003E77F1">
        <w:rPr>
          <w:sz w:val="24"/>
        </w:rPr>
        <w:t xml:space="preserve"> </w:t>
      </w:r>
      <w:r w:rsidR="00CA0052" w:rsidRPr="003E77F1">
        <w:rPr>
          <w:sz w:val="24"/>
        </w:rPr>
        <w:t>For</w:t>
      </w:r>
      <w:r w:rsidRPr="003E77F1">
        <w:rPr>
          <w:sz w:val="24"/>
        </w:rPr>
        <w:t xml:space="preserve"> PH&amp;N</w:t>
      </w:r>
      <w:r w:rsidR="00CA0052" w:rsidRPr="003E77F1">
        <w:rPr>
          <w:sz w:val="24"/>
        </w:rPr>
        <w:t>,</w:t>
      </w:r>
      <w:r w:rsidR="00681AA3" w:rsidRPr="003E77F1">
        <w:rPr>
          <w:sz w:val="24"/>
        </w:rPr>
        <w:t xml:space="preserve"> stock picks in</w:t>
      </w:r>
      <w:r w:rsidR="00C1665E" w:rsidRPr="003E77F1">
        <w:rPr>
          <w:sz w:val="24"/>
        </w:rPr>
        <w:t xml:space="preserve"> </w:t>
      </w:r>
      <w:r w:rsidR="008836B9" w:rsidRPr="003E77F1">
        <w:rPr>
          <w:sz w:val="24"/>
        </w:rPr>
        <w:t>Industrials</w:t>
      </w:r>
      <w:r w:rsidR="00681AA3" w:rsidRPr="003E77F1">
        <w:rPr>
          <w:sz w:val="24"/>
        </w:rPr>
        <w:t>,</w:t>
      </w:r>
      <w:r w:rsidR="00C1665E" w:rsidRPr="003E77F1">
        <w:rPr>
          <w:sz w:val="24"/>
        </w:rPr>
        <w:t xml:space="preserve"> </w:t>
      </w:r>
      <w:r w:rsidR="008836B9" w:rsidRPr="003E77F1">
        <w:rPr>
          <w:sz w:val="24"/>
        </w:rPr>
        <w:t>Communication Services and Real Estate</w:t>
      </w:r>
      <w:r w:rsidR="00C1665E" w:rsidRPr="003E77F1">
        <w:rPr>
          <w:sz w:val="24"/>
        </w:rPr>
        <w:t xml:space="preserve"> </w:t>
      </w:r>
      <w:r w:rsidR="00681AA3" w:rsidRPr="003E77F1">
        <w:rPr>
          <w:sz w:val="24"/>
        </w:rPr>
        <w:t>added value</w:t>
      </w:r>
      <w:r w:rsidR="00CA0052" w:rsidRPr="003E77F1">
        <w:rPr>
          <w:sz w:val="24"/>
        </w:rPr>
        <w:t xml:space="preserve">. </w:t>
      </w:r>
      <w:r w:rsidRPr="003E77F1">
        <w:rPr>
          <w:sz w:val="24"/>
        </w:rPr>
        <w:t xml:space="preserve">Mawer’s </w:t>
      </w:r>
      <w:r w:rsidR="003A16C0" w:rsidRPr="003E77F1">
        <w:rPr>
          <w:sz w:val="24"/>
        </w:rPr>
        <w:t xml:space="preserve">stock selection </w:t>
      </w:r>
      <w:r w:rsidR="008836B9" w:rsidRPr="003E77F1">
        <w:rPr>
          <w:sz w:val="24"/>
        </w:rPr>
        <w:t>detracted</w:t>
      </w:r>
      <w:r w:rsidR="003A16C0" w:rsidRPr="003E77F1">
        <w:rPr>
          <w:sz w:val="24"/>
        </w:rPr>
        <w:t xml:space="preserve"> value, </w:t>
      </w:r>
      <w:r w:rsidR="008836B9" w:rsidRPr="003E77F1">
        <w:rPr>
          <w:sz w:val="24"/>
        </w:rPr>
        <w:t>particularl</w:t>
      </w:r>
      <w:r w:rsidR="003A16C0" w:rsidRPr="003E77F1">
        <w:rPr>
          <w:sz w:val="24"/>
        </w:rPr>
        <w:t xml:space="preserve">y in the </w:t>
      </w:r>
      <w:r w:rsidR="0021161E" w:rsidRPr="003E77F1">
        <w:rPr>
          <w:sz w:val="24"/>
        </w:rPr>
        <w:t xml:space="preserve">Info Tech </w:t>
      </w:r>
      <w:r w:rsidR="003A16C0" w:rsidRPr="003E77F1">
        <w:rPr>
          <w:sz w:val="24"/>
        </w:rPr>
        <w:t>secto</w:t>
      </w:r>
      <w:r w:rsidR="008836B9" w:rsidRPr="003E77F1">
        <w:rPr>
          <w:sz w:val="24"/>
        </w:rPr>
        <w:t>r</w:t>
      </w:r>
      <w:r w:rsidR="003A16C0" w:rsidRPr="003E77F1">
        <w:rPr>
          <w:sz w:val="24"/>
        </w:rPr>
        <w:t xml:space="preserve">. </w:t>
      </w:r>
      <w:r w:rsidR="008836B9" w:rsidRPr="003E77F1">
        <w:rPr>
          <w:sz w:val="24"/>
        </w:rPr>
        <w:t xml:space="preserve">An overweight allocation towards Info Tech along with underweight allocations to Materials and Energy sectors </w:t>
      </w:r>
      <w:r w:rsidR="003E77F1" w:rsidRPr="003E77F1">
        <w:rPr>
          <w:sz w:val="24"/>
        </w:rPr>
        <w:t>partially</w:t>
      </w:r>
      <w:r w:rsidR="008836B9" w:rsidRPr="003E77F1">
        <w:rPr>
          <w:sz w:val="24"/>
        </w:rPr>
        <w:t xml:space="preserve"> offset the underperformance.</w:t>
      </w:r>
    </w:p>
    <w:p w14:paraId="257F341D" w14:textId="5DA2BAD9" w:rsidR="0078012E" w:rsidRPr="008836B9" w:rsidRDefault="003E42C5">
      <w:pPr>
        <w:pStyle w:val="ListParagraph"/>
        <w:numPr>
          <w:ilvl w:val="1"/>
          <w:numId w:val="1"/>
        </w:numPr>
        <w:tabs>
          <w:tab w:val="left" w:pos="667"/>
        </w:tabs>
        <w:spacing w:before="121" w:line="360" w:lineRule="auto"/>
        <w:ind w:right="763"/>
        <w:rPr>
          <w:sz w:val="24"/>
        </w:rPr>
      </w:pPr>
      <w:r w:rsidRPr="003E77F1">
        <w:rPr>
          <w:sz w:val="24"/>
        </w:rPr>
        <w:t>In the U.S. equity market, BlackRock’s performance tracked tightly to the</w:t>
      </w:r>
      <w:r w:rsidR="0021161E" w:rsidRPr="003E77F1">
        <w:rPr>
          <w:sz w:val="24"/>
        </w:rPr>
        <w:t xml:space="preserve"> </w:t>
      </w:r>
      <w:r w:rsidR="008836B9" w:rsidRPr="003E77F1">
        <w:rPr>
          <w:sz w:val="24"/>
        </w:rPr>
        <w:t>22.9</w:t>
      </w:r>
      <w:r w:rsidRPr="003E77F1">
        <w:rPr>
          <w:sz w:val="24"/>
        </w:rPr>
        <w:t>% S&amp;P 500</w:t>
      </w:r>
      <w:r w:rsidRPr="008836B9">
        <w:rPr>
          <w:sz w:val="24"/>
        </w:rPr>
        <w:t xml:space="preserve"> return, which is the objective for this passive</w:t>
      </w:r>
      <w:r w:rsidRPr="008836B9">
        <w:rPr>
          <w:spacing w:val="-9"/>
          <w:sz w:val="24"/>
        </w:rPr>
        <w:t xml:space="preserve"> </w:t>
      </w:r>
      <w:r w:rsidRPr="008836B9">
        <w:rPr>
          <w:sz w:val="24"/>
        </w:rPr>
        <w:t>strategy.</w:t>
      </w:r>
    </w:p>
    <w:p w14:paraId="1BFF13D4" w14:textId="08F9B463" w:rsidR="0078012E" w:rsidRPr="003E77F1" w:rsidRDefault="003E42C5">
      <w:pPr>
        <w:pStyle w:val="ListParagraph"/>
        <w:numPr>
          <w:ilvl w:val="1"/>
          <w:numId w:val="1"/>
        </w:numPr>
        <w:tabs>
          <w:tab w:val="left" w:pos="667"/>
        </w:tabs>
        <w:spacing w:before="119" w:line="360" w:lineRule="auto"/>
        <w:ind w:right="930"/>
        <w:rPr>
          <w:sz w:val="24"/>
        </w:rPr>
      </w:pPr>
      <w:r w:rsidRPr="003E77F1">
        <w:rPr>
          <w:sz w:val="24"/>
        </w:rPr>
        <w:t xml:space="preserve">The non-North American equity manager, Mawer, </w:t>
      </w:r>
      <w:r w:rsidR="008836B9" w:rsidRPr="003E77F1">
        <w:rPr>
          <w:sz w:val="24"/>
        </w:rPr>
        <w:t>exceeded</w:t>
      </w:r>
      <w:r w:rsidR="0021161E" w:rsidRPr="003E77F1">
        <w:rPr>
          <w:sz w:val="24"/>
        </w:rPr>
        <w:t xml:space="preserve"> </w:t>
      </w:r>
      <w:r w:rsidRPr="003E77F1">
        <w:rPr>
          <w:sz w:val="24"/>
        </w:rPr>
        <w:t xml:space="preserve">the </w:t>
      </w:r>
      <w:r w:rsidR="008836B9" w:rsidRPr="003E77F1">
        <w:rPr>
          <w:sz w:val="24"/>
        </w:rPr>
        <w:t>12.5</w:t>
      </w:r>
      <w:r w:rsidR="00577A95" w:rsidRPr="003E77F1">
        <w:rPr>
          <w:sz w:val="24"/>
        </w:rPr>
        <w:t xml:space="preserve">% </w:t>
      </w:r>
      <w:r w:rsidRPr="003E77F1">
        <w:rPr>
          <w:sz w:val="24"/>
        </w:rPr>
        <w:t>MSCI All Country World ex USA Index</w:t>
      </w:r>
      <w:r w:rsidR="00577A95" w:rsidRPr="003E77F1">
        <w:rPr>
          <w:sz w:val="24"/>
        </w:rPr>
        <w:t xml:space="preserve">, earning </w:t>
      </w:r>
      <w:r w:rsidR="008836B9" w:rsidRPr="003E77F1">
        <w:rPr>
          <w:sz w:val="24"/>
        </w:rPr>
        <w:t>14.3</w:t>
      </w:r>
      <w:r w:rsidR="00577A95" w:rsidRPr="003E77F1">
        <w:rPr>
          <w:sz w:val="24"/>
        </w:rPr>
        <w:t>%</w:t>
      </w:r>
      <w:r w:rsidRPr="003E77F1">
        <w:rPr>
          <w:sz w:val="24"/>
        </w:rPr>
        <w:t xml:space="preserve"> in the year</w:t>
      </w:r>
      <w:r w:rsidR="00577A95" w:rsidRPr="003E77F1">
        <w:rPr>
          <w:sz w:val="24"/>
        </w:rPr>
        <w:t>. Mawer</w:t>
      </w:r>
      <w:r w:rsidR="00EF596D" w:rsidRPr="003E77F1">
        <w:rPr>
          <w:sz w:val="24"/>
        </w:rPr>
        <w:t>’s</w:t>
      </w:r>
      <w:r w:rsidR="0021161E" w:rsidRPr="003E77F1">
        <w:rPr>
          <w:sz w:val="24"/>
        </w:rPr>
        <w:t xml:space="preserve"> </w:t>
      </w:r>
      <w:r w:rsidR="008836B9" w:rsidRPr="003E77F1">
        <w:rPr>
          <w:sz w:val="24"/>
        </w:rPr>
        <w:t xml:space="preserve">added </w:t>
      </w:r>
      <w:r w:rsidR="00681AA3" w:rsidRPr="003E77F1">
        <w:rPr>
          <w:sz w:val="24"/>
        </w:rPr>
        <w:t>value</w:t>
      </w:r>
      <w:r w:rsidR="0021161E" w:rsidRPr="003E77F1">
        <w:rPr>
          <w:sz w:val="24"/>
        </w:rPr>
        <w:t xml:space="preserve"> </w:t>
      </w:r>
      <w:r w:rsidR="00681AA3" w:rsidRPr="003E77F1">
        <w:rPr>
          <w:sz w:val="24"/>
        </w:rPr>
        <w:t xml:space="preserve">was driven by an </w:t>
      </w:r>
      <w:r w:rsidR="00EF596D" w:rsidRPr="003E77F1">
        <w:rPr>
          <w:sz w:val="24"/>
        </w:rPr>
        <w:t>overweight</w:t>
      </w:r>
      <w:r w:rsidR="00681AA3" w:rsidRPr="003E77F1">
        <w:rPr>
          <w:sz w:val="24"/>
        </w:rPr>
        <w:t xml:space="preserve"> to the </w:t>
      </w:r>
      <w:r w:rsidR="00EF596D" w:rsidRPr="003E77F1">
        <w:rPr>
          <w:sz w:val="24"/>
        </w:rPr>
        <w:t>Industrials</w:t>
      </w:r>
      <w:r w:rsidR="0021161E" w:rsidRPr="003E77F1">
        <w:rPr>
          <w:sz w:val="24"/>
        </w:rPr>
        <w:t xml:space="preserve"> </w:t>
      </w:r>
      <w:r w:rsidR="00681AA3" w:rsidRPr="003E77F1">
        <w:rPr>
          <w:sz w:val="24"/>
        </w:rPr>
        <w:t xml:space="preserve">sector and </w:t>
      </w:r>
      <w:r w:rsidR="00EF596D" w:rsidRPr="003E77F1">
        <w:rPr>
          <w:sz w:val="24"/>
        </w:rPr>
        <w:t>strong</w:t>
      </w:r>
      <w:r w:rsidR="0021161E" w:rsidRPr="003E77F1">
        <w:rPr>
          <w:sz w:val="24"/>
        </w:rPr>
        <w:t xml:space="preserve"> </w:t>
      </w:r>
      <w:r w:rsidR="00681AA3" w:rsidRPr="003E77F1">
        <w:rPr>
          <w:sz w:val="24"/>
        </w:rPr>
        <w:t>stock picks</w:t>
      </w:r>
      <w:r w:rsidR="0021161E" w:rsidRPr="003E77F1">
        <w:rPr>
          <w:sz w:val="24"/>
        </w:rPr>
        <w:t xml:space="preserve"> in </w:t>
      </w:r>
      <w:r w:rsidR="00EF596D" w:rsidRPr="003E77F1">
        <w:rPr>
          <w:sz w:val="24"/>
        </w:rPr>
        <w:t>Materials</w:t>
      </w:r>
      <w:r w:rsidR="0021161E" w:rsidRPr="003E77F1">
        <w:rPr>
          <w:sz w:val="24"/>
        </w:rPr>
        <w:t>, Health Care and across most sectors</w:t>
      </w:r>
      <w:r w:rsidR="00681AA3" w:rsidRPr="003E77F1">
        <w:rPr>
          <w:sz w:val="24"/>
        </w:rPr>
        <w:t>.</w:t>
      </w:r>
    </w:p>
    <w:p w14:paraId="2CA10495" w14:textId="7B7A1861" w:rsidR="00652473" w:rsidRPr="00EF596D" w:rsidRDefault="007628E7" w:rsidP="00A61696">
      <w:pPr>
        <w:pStyle w:val="ListParagraph"/>
        <w:numPr>
          <w:ilvl w:val="1"/>
          <w:numId w:val="1"/>
        </w:numPr>
        <w:tabs>
          <w:tab w:val="left" w:pos="667"/>
        </w:tabs>
        <w:spacing w:before="120" w:line="360" w:lineRule="auto"/>
        <w:ind w:right="1549"/>
        <w:rPr>
          <w:sz w:val="24"/>
        </w:rPr>
      </w:pPr>
      <w:r w:rsidRPr="003E77F1">
        <w:rPr>
          <w:sz w:val="24"/>
        </w:rPr>
        <w:t>BlackRock manages emerging market equities passively for the Trust and</w:t>
      </w:r>
      <w:r w:rsidRPr="00EF596D">
        <w:rPr>
          <w:sz w:val="24"/>
        </w:rPr>
        <w:t xml:space="preserve"> Endowment</w:t>
      </w:r>
      <w:r w:rsidR="00560E3A" w:rsidRPr="00EF596D">
        <w:rPr>
          <w:sz w:val="24"/>
        </w:rPr>
        <w:t xml:space="preserve"> </w:t>
      </w:r>
      <w:r w:rsidR="0003636A" w:rsidRPr="00EF596D">
        <w:rPr>
          <w:sz w:val="24"/>
        </w:rPr>
        <w:t>Fund and</w:t>
      </w:r>
      <w:r w:rsidRPr="00EF596D">
        <w:rPr>
          <w:sz w:val="24"/>
        </w:rPr>
        <w:t xml:space="preserve"> tracked the</w:t>
      </w:r>
      <w:r w:rsidR="003E42C5" w:rsidRPr="00EF596D">
        <w:rPr>
          <w:sz w:val="24"/>
        </w:rPr>
        <w:t xml:space="preserve"> MSCI Emerging Market Index</w:t>
      </w:r>
      <w:r w:rsidRPr="00EF596D">
        <w:rPr>
          <w:sz w:val="24"/>
        </w:rPr>
        <w:t xml:space="preserve"> in the year, earning a </w:t>
      </w:r>
      <w:r w:rsidR="00EF596D" w:rsidRPr="00EF596D">
        <w:rPr>
          <w:sz w:val="24"/>
        </w:rPr>
        <w:t>6.5</w:t>
      </w:r>
      <w:r w:rsidRPr="00EF596D">
        <w:rPr>
          <w:sz w:val="24"/>
        </w:rPr>
        <w:t xml:space="preserve">% return. </w:t>
      </w:r>
    </w:p>
    <w:p w14:paraId="38399887" w14:textId="29F91C39" w:rsidR="0078012E" w:rsidRPr="00EF596D" w:rsidRDefault="003E42C5" w:rsidP="00560E3A">
      <w:pPr>
        <w:pStyle w:val="ListParagraph"/>
        <w:numPr>
          <w:ilvl w:val="1"/>
          <w:numId w:val="1"/>
        </w:numPr>
        <w:tabs>
          <w:tab w:val="left" w:pos="667"/>
        </w:tabs>
        <w:spacing w:before="119" w:line="345" w:lineRule="auto"/>
        <w:ind w:right="743"/>
        <w:jc w:val="both"/>
        <w:rPr>
          <w:sz w:val="24"/>
        </w:rPr>
      </w:pPr>
      <w:r w:rsidRPr="00EF596D">
        <w:rPr>
          <w:sz w:val="24"/>
        </w:rPr>
        <w:t xml:space="preserve">PH&amp;N manages </w:t>
      </w:r>
      <w:r w:rsidR="007628E7" w:rsidRPr="00EF596D">
        <w:rPr>
          <w:sz w:val="24"/>
        </w:rPr>
        <w:t xml:space="preserve">mandates in </w:t>
      </w:r>
      <w:r w:rsidRPr="00EF596D">
        <w:rPr>
          <w:sz w:val="24"/>
        </w:rPr>
        <w:t>Universe Bond</w:t>
      </w:r>
      <w:r w:rsidR="007628E7" w:rsidRPr="00EF596D">
        <w:rPr>
          <w:sz w:val="24"/>
        </w:rPr>
        <w:t xml:space="preserve">s and Mortgages. </w:t>
      </w:r>
      <w:r w:rsidRPr="00EF596D">
        <w:rPr>
          <w:sz w:val="24"/>
        </w:rPr>
        <w:t xml:space="preserve">Over the year, PH&amp;N’s bonds returned </w:t>
      </w:r>
      <w:r w:rsidR="00EF596D" w:rsidRPr="00EF596D">
        <w:rPr>
          <w:sz w:val="24"/>
        </w:rPr>
        <w:t>7.6</w:t>
      </w:r>
      <w:r w:rsidRPr="00EF596D">
        <w:rPr>
          <w:sz w:val="24"/>
        </w:rPr>
        <w:t xml:space="preserve">%, </w:t>
      </w:r>
      <w:r w:rsidR="007628E7" w:rsidRPr="00EF596D">
        <w:rPr>
          <w:sz w:val="24"/>
        </w:rPr>
        <w:t xml:space="preserve">adding to </w:t>
      </w:r>
      <w:r w:rsidRPr="00EF596D">
        <w:rPr>
          <w:sz w:val="24"/>
        </w:rPr>
        <w:t xml:space="preserve">the </w:t>
      </w:r>
      <w:r w:rsidR="00EF596D" w:rsidRPr="00EF596D">
        <w:rPr>
          <w:sz w:val="24"/>
        </w:rPr>
        <w:t>6.7</w:t>
      </w:r>
      <w:r w:rsidR="007628E7" w:rsidRPr="00EF596D">
        <w:rPr>
          <w:sz w:val="24"/>
        </w:rPr>
        <w:t xml:space="preserve">% </w:t>
      </w:r>
      <w:r w:rsidRPr="00EF596D">
        <w:rPr>
          <w:sz w:val="24"/>
        </w:rPr>
        <w:t>FTSE Canada Universe Bond Index</w:t>
      </w:r>
      <w:r w:rsidR="007628E7" w:rsidRPr="00EF596D">
        <w:rPr>
          <w:sz w:val="24"/>
        </w:rPr>
        <w:t xml:space="preserve"> return</w:t>
      </w:r>
      <w:r w:rsidRPr="00EF596D">
        <w:rPr>
          <w:sz w:val="24"/>
        </w:rPr>
        <w:t xml:space="preserve">. </w:t>
      </w:r>
      <w:r w:rsidRPr="002B7D35">
        <w:rPr>
          <w:sz w:val="24"/>
        </w:rPr>
        <w:t xml:space="preserve">Mortgages returned </w:t>
      </w:r>
      <w:r w:rsidR="002B7D35" w:rsidRPr="002B7D35">
        <w:rPr>
          <w:sz w:val="24"/>
        </w:rPr>
        <w:t>7.2</w:t>
      </w:r>
      <w:r w:rsidRPr="002B7D35">
        <w:rPr>
          <w:sz w:val="24"/>
        </w:rPr>
        <w:t xml:space="preserve">% versus the </w:t>
      </w:r>
      <w:r w:rsidR="002B7D35" w:rsidRPr="002B7D35">
        <w:rPr>
          <w:sz w:val="24"/>
        </w:rPr>
        <w:t>5.0</w:t>
      </w:r>
      <w:r w:rsidRPr="002B7D35">
        <w:rPr>
          <w:sz w:val="24"/>
        </w:rPr>
        <w:t>% FTSE Canada Short Term Bond</w:t>
      </w:r>
      <w:r w:rsidRPr="002B7D35">
        <w:rPr>
          <w:spacing w:val="-30"/>
          <w:sz w:val="24"/>
        </w:rPr>
        <w:t xml:space="preserve"> </w:t>
      </w:r>
      <w:r w:rsidRPr="002B7D35">
        <w:rPr>
          <w:sz w:val="24"/>
        </w:rPr>
        <w:t>Index.</w:t>
      </w:r>
      <w:r w:rsidR="00C64C4A" w:rsidRPr="002B7D35">
        <w:rPr>
          <w:sz w:val="24"/>
        </w:rPr>
        <w:t xml:space="preserve"> </w:t>
      </w:r>
      <w:r w:rsidRPr="002B7D35">
        <w:rPr>
          <w:sz w:val="24"/>
        </w:rPr>
        <w:t>PH&amp;N primarily holds investment grade bonds, with</w:t>
      </w:r>
      <w:r w:rsidR="00C64C4A" w:rsidRPr="002B7D35">
        <w:rPr>
          <w:sz w:val="24"/>
        </w:rPr>
        <w:t xml:space="preserve"> </w:t>
      </w:r>
      <w:r w:rsidR="0013736C" w:rsidRPr="002B7D35">
        <w:rPr>
          <w:sz w:val="24"/>
        </w:rPr>
        <w:t>6.4</w:t>
      </w:r>
      <w:r w:rsidRPr="002B7D35">
        <w:rPr>
          <w:sz w:val="24"/>
        </w:rPr>
        <w:t xml:space="preserve">% of the portfolio </w:t>
      </w:r>
      <w:r w:rsidR="00C64C4A" w:rsidRPr="002B7D35">
        <w:rPr>
          <w:sz w:val="24"/>
        </w:rPr>
        <w:t>in bonds rated below BBB</w:t>
      </w:r>
      <w:r w:rsidRPr="002B7D35">
        <w:rPr>
          <w:sz w:val="24"/>
        </w:rPr>
        <w:t>. The</w:t>
      </w:r>
      <w:r w:rsidRPr="00EF596D">
        <w:rPr>
          <w:sz w:val="24"/>
        </w:rPr>
        <w:t xml:space="preserve"> breakdown of the bond quality is shown in the graph</w:t>
      </w:r>
      <w:r w:rsidRPr="00EF596D">
        <w:rPr>
          <w:spacing w:val="-16"/>
          <w:sz w:val="24"/>
        </w:rPr>
        <w:t xml:space="preserve"> </w:t>
      </w:r>
      <w:r w:rsidRPr="00EF596D">
        <w:rPr>
          <w:sz w:val="24"/>
        </w:rPr>
        <w:t>below.</w:t>
      </w:r>
      <w:r w:rsidR="00C64C4A" w:rsidRPr="00EF596D">
        <w:rPr>
          <w:sz w:val="24"/>
        </w:rPr>
        <w:t xml:space="preserve"> </w:t>
      </w:r>
    </w:p>
    <w:p w14:paraId="149D4910" w14:textId="5A3DE1D3" w:rsidR="00F951A9" w:rsidRDefault="0013736C" w:rsidP="00A422AF">
      <w:pPr>
        <w:spacing w:line="345" w:lineRule="auto"/>
        <w:jc w:val="center"/>
        <w:rPr>
          <w:sz w:val="24"/>
        </w:rPr>
      </w:pPr>
      <w:r>
        <w:rPr>
          <w:noProof/>
          <w:lang w:eastAsia="ja-JP" w:bidi="ar-SA"/>
        </w:rPr>
        <w:lastRenderedPageBreak/>
        <w:drawing>
          <wp:inline distT="0" distB="0" distL="0" distR="0" wp14:anchorId="3D43573B" wp14:editId="5D06C5F5">
            <wp:extent cx="2209800" cy="2112569"/>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16901" cy="2119358"/>
                    </a:xfrm>
                    <a:prstGeom prst="rect">
                      <a:avLst/>
                    </a:prstGeom>
                  </pic:spPr>
                </pic:pic>
              </a:graphicData>
            </a:graphic>
          </wp:inline>
        </w:drawing>
      </w:r>
    </w:p>
    <w:p w14:paraId="7108B25E" w14:textId="77777777" w:rsidR="00217176" w:rsidRPr="00217176" w:rsidRDefault="00217176" w:rsidP="00A422AF">
      <w:pPr>
        <w:spacing w:line="345" w:lineRule="auto"/>
        <w:jc w:val="center"/>
        <w:rPr>
          <w:b/>
          <w:bCs/>
          <w:sz w:val="24"/>
        </w:rPr>
      </w:pPr>
    </w:p>
    <w:p w14:paraId="75AFABE4" w14:textId="77777777" w:rsidR="0078012E" w:rsidRDefault="0078012E">
      <w:pPr>
        <w:pStyle w:val="BodyText"/>
        <w:spacing w:before="6"/>
        <w:rPr>
          <w:sz w:val="20"/>
        </w:rPr>
      </w:pPr>
    </w:p>
    <w:p w14:paraId="6F6251D2" w14:textId="120B2269" w:rsidR="0078012E" w:rsidRPr="00567AEC" w:rsidRDefault="003E42C5">
      <w:pPr>
        <w:pStyle w:val="ListParagraph"/>
        <w:numPr>
          <w:ilvl w:val="1"/>
          <w:numId w:val="1"/>
        </w:numPr>
        <w:tabs>
          <w:tab w:val="left" w:pos="667"/>
        </w:tabs>
        <w:spacing w:before="100" w:line="360" w:lineRule="auto"/>
        <w:ind w:right="766"/>
        <w:rPr>
          <w:sz w:val="24"/>
        </w:rPr>
      </w:pPr>
      <w:r w:rsidRPr="00567AEC">
        <w:rPr>
          <w:sz w:val="24"/>
        </w:rPr>
        <w:t>The BlackRock Absolute Return Bond strategy</w:t>
      </w:r>
      <w:r w:rsidR="00F951A9" w:rsidRPr="00567AEC">
        <w:rPr>
          <w:sz w:val="24"/>
        </w:rPr>
        <w:t xml:space="preserve"> invests in global fixed income assets, and generally has low interest rate sensitivity, to shield against the negative impacts of rising interest rates.</w:t>
      </w:r>
      <w:r w:rsidRPr="00567AEC">
        <w:rPr>
          <w:sz w:val="24"/>
        </w:rPr>
        <w:t xml:space="preserve"> In the year, the strategy returned </w:t>
      </w:r>
      <w:r w:rsidR="00567AEC" w:rsidRPr="00567AEC">
        <w:rPr>
          <w:sz w:val="24"/>
        </w:rPr>
        <w:t>6.4</w:t>
      </w:r>
      <w:r w:rsidRPr="00567AEC">
        <w:rPr>
          <w:sz w:val="24"/>
        </w:rPr>
        <w:t xml:space="preserve">%, </w:t>
      </w:r>
      <w:r w:rsidR="009B4A7F" w:rsidRPr="00567AEC">
        <w:rPr>
          <w:sz w:val="24"/>
        </w:rPr>
        <w:t>below</w:t>
      </w:r>
      <w:r w:rsidRPr="00567AEC">
        <w:rPr>
          <w:sz w:val="24"/>
        </w:rPr>
        <w:t xml:space="preserve"> the </w:t>
      </w:r>
      <w:r w:rsidR="00567AEC" w:rsidRPr="00567AEC">
        <w:rPr>
          <w:sz w:val="24"/>
        </w:rPr>
        <w:t>9.3</w:t>
      </w:r>
      <w:r w:rsidRPr="00567AEC">
        <w:rPr>
          <w:sz w:val="24"/>
        </w:rPr>
        <w:t>% USD LIBOR +4% return target</w:t>
      </w:r>
      <w:r w:rsidR="00F951A9" w:rsidRPr="00567AEC">
        <w:rPr>
          <w:sz w:val="24"/>
        </w:rPr>
        <w:t xml:space="preserve">. </w:t>
      </w:r>
      <w:r w:rsidR="009B4A7F" w:rsidRPr="00567AEC">
        <w:rPr>
          <w:sz w:val="24"/>
        </w:rPr>
        <w:t>T</w:t>
      </w:r>
      <w:r w:rsidR="00F951A9" w:rsidRPr="00567AEC">
        <w:rPr>
          <w:sz w:val="24"/>
        </w:rPr>
        <w:t>he</w:t>
      </w:r>
      <w:r w:rsidRPr="00567AEC">
        <w:rPr>
          <w:sz w:val="24"/>
        </w:rPr>
        <w:t xml:space="preserve"> BlackRock strategy has a </w:t>
      </w:r>
      <w:r w:rsidR="00567AEC" w:rsidRPr="00567AEC">
        <w:rPr>
          <w:sz w:val="24"/>
        </w:rPr>
        <w:t>3.3</w:t>
      </w:r>
      <w:r w:rsidR="009A7870" w:rsidRPr="00567AEC">
        <w:rPr>
          <w:sz w:val="24"/>
        </w:rPr>
        <w:t>-year</w:t>
      </w:r>
      <w:r w:rsidRPr="00567AEC">
        <w:rPr>
          <w:sz w:val="24"/>
        </w:rPr>
        <w:t xml:space="preserve"> duration, versus the </w:t>
      </w:r>
      <w:r w:rsidR="00EF4618" w:rsidRPr="00567AEC">
        <w:rPr>
          <w:sz w:val="24"/>
        </w:rPr>
        <w:t>7</w:t>
      </w:r>
      <w:r w:rsidRPr="00567AEC">
        <w:rPr>
          <w:sz w:val="24"/>
        </w:rPr>
        <w:t>.</w:t>
      </w:r>
      <w:r w:rsidR="00EF4618" w:rsidRPr="00567AEC">
        <w:rPr>
          <w:sz w:val="24"/>
        </w:rPr>
        <w:t>3</w:t>
      </w:r>
      <w:r w:rsidR="009A7870" w:rsidRPr="00567AEC">
        <w:rPr>
          <w:sz w:val="24"/>
        </w:rPr>
        <w:t>-</w:t>
      </w:r>
      <w:r w:rsidRPr="00567AEC">
        <w:rPr>
          <w:sz w:val="24"/>
        </w:rPr>
        <w:t>year duration for the Universe Bond</w:t>
      </w:r>
      <w:r w:rsidRPr="00567AEC">
        <w:rPr>
          <w:spacing w:val="-3"/>
          <w:sz w:val="24"/>
        </w:rPr>
        <w:t xml:space="preserve"> </w:t>
      </w:r>
      <w:r w:rsidRPr="00567AEC">
        <w:rPr>
          <w:sz w:val="24"/>
        </w:rPr>
        <w:t>Index</w:t>
      </w:r>
      <w:r w:rsidR="00F951A9" w:rsidRPr="00567AEC">
        <w:rPr>
          <w:sz w:val="24"/>
        </w:rPr>
        <w:t xml:space="preserve">, meaning it has </w:t>
      </w:r>
      <w:r w:rsidR="009B4A7F" w:rsidRPr="00567AEC">
        <w:rPr>
          <w:sz w:val="24"/>
        </w:rPr>
        <w:t>less than</w:t>
      </w:r>
      <w:r w:rsidR="00F951A9" w:rsidRPr="00567AEC">
        <w:rPr>
          <w:sz w:val="24"/>
        </w:rPr>
        <w:t xml:space="preserve"> one-</w:t>
      </w:r>
      <w:r w:rsidR="00EF4618" w:rsidRPr="00567AEC">
        <w:rPr>
          <w:sz w:val="24"/>
        </w:rPr>
        <w:t>half</w:t>
      </w:r>
      <w:r w:rsidR="00F951A9" w:rsidRPr="00567AEC">
        <w:rPr>
          <w:sz w:val="24"/>
        </w:rPr>
        <w:t xml:space="preserve"> of the interest rate sensitivity and can be expected to do comparatively better in a rising interest rate environment</w:t>
      </w:r>
      <w:r w:rsidRPr="00567AEC">
        <w:rPr>
          <w:sz w:val="24"/>
        </w:rPr>
        <w:t>.</w:t>
      </w:r>
    </w:p>
    <w:p w14:paraId="29E9D934" w14:textId="04EC0C18" w:rsidR="0078012E" w:rsidRPr="00567AEC" w:rsidRDefault="003E42C5" w:rsidP="000F2B4C">
      <w:pPr>
        <w:pStyle w:val="ListParagraph"/>
        <w:numPr>
          <w:ilvl w:val="1"/>
          <w:numId w:val="1"/>
        </w:numPr>
        <w:tabs>
          <w:tab w:val="left" w:pos="667"/>
        </w:tabs>
        <w:spacing w:before="121" w:line="360" w:lineRule="auto"/>
        <w:ind w:right="824"/>
        <w:rPr>
          <w:sz w:val="24"/>
        </w:rPr>
      </w:pPr>
      <w:r w:rsidRPr="00567AEC">
        <w:rPr>
          <w:sz w:val="24"/>
        </w:rPr>
        <w:t>Real estate is managed by Bentall, and TD Greystone</w:t>
      </w:r>
      <w:r w:rsidR="00567AEC" w:rsidRPr="00567AEC">
        <w:rPr>
          <w:sz w:val="24"/>
        </w:rPr>
        <w:t xml:space="preserve">. </w:t>
      </w:r>
      <w:r w:rsidRPr="00567AEC">
        <w:rPr>
          <w:sz w:val="24"/>
        </w:rPr>
        <w:t xml:space="preserve">Real estate </w:t>
      </w:r>
      <w:r w:rsidR="00F951A9" w:rsidRPr="00567AEC">
        <w:rPr>
          <w:sz w:val="24"/>
        </w:rPr>
        <w:t xml:space="preserve">returns </w:t>
      </w:r>
      <w:r w:rsidR="00567AEC" w:rsidRPr="00567AEC">
        <w:rPr>
          <w:sz w:val="24"/>
        </w:rPr>
        <w:t>took a step back in 2023</w:t>
      </w:r>
      <w:r w:rsidR="00C87D54" w:rsidRPr="00567AEC">
        <w:rPr>
          <w:sz w:val="24"/>
        </w:rPr>
        <w:t xml:space="preserve">, with Bentall earning </w:t>
      </w:r>
      <w:r w:rsidR="00567AEC" w:rsidRPr="00567AEC">
        <w:rPr>
          <w:sz w:val="24"/>
        </w:rPr>
        <w:t>-4.2</w:t>
      </w:r>
      <w:r w:rsidR="00C87D54" w:rsidRPr="00567AEC">
        <w:rPr>
          <w:sz w:val="24"/>
        </w:rPr>
        <w:t xml:space="preserve">% and TD Greystone earning </w:t>
      </w:r>
      <w:r w:rsidR="00567AEC" w:rsidRPr="00567AEC">
        <w:rPr>
          <w:sz w:val="24"/>
        </w:rPr>
        <w:t>0.7</w:t>
      </w:r>
      <w:r w:rsidR="00C87D54" w:rsidRPr="00567AEC">
        <w:rPr>
          <w:sz w:val="24"/>
        </w:rPr>
        <w:t>%</w:t>
      </w:r>
      <w:r w:rsidR="00EF4618" w:rsidRPr="00567AEC">
        <w:rPr>
          <w:sz w:val="24"/>
        </w:rPr>
        <w:t>.</w:t>
      </w:r>
      <w:r w:rsidR="00C87D54" w:rsidRPr="00567AEC">
        <w:rPr>
          <w:sz w:val="24"/>
        </w:rPr>
        <w:t xml:space="preserve"> </w:t>
      </w:r>
      <w:r w:rsidR="00567AEC" w:rsidRPr="00567AEC">
        <w:rPr>
          <w:sz w:val="24"/>
        </w:rPr>
        <w:t>Capital depreciation led the decline due to the increase in rates causing valuations to decline.</w:t>
      </w:r>
    </w:p>
    <w:p w14:paraId="0B3E79BC" w14:textId="47B478B3" w:rsidR="006720C5" w:rsidRPr="00567AEC" w:rsidRDefault="00567AEC" w:rsidP="006720C5">
      <w:pPr>
        <w:pStyle w:val="ListParagraph"/>
        <w:numPr>
          <w:ilvl w:val="1"/>
          <w:numId w:val="1"/>
        </w:numPr>
        <w:tabs>
          <w:tab w:val="left" w:pos="667"/>
        </w:tabs>
        <w:spacing w:before="120" w:line="360" w:lineRule="auto"/>
        <w:ind w:right="1549"/>
        <w:rPr>
          <w:sz w:val="24"/>
        </w:rPr>
      </w:pPr>
      <w:r w:rsidRPr="00567AEC">
        <w:rPr>
          <w:sz w:val="24"/>
        </w:rPr>
        <w:t>KKR global infrastructure was added in March as the fund switched to an active mandate and</w:t>
      </w:r>
      <w:r w:rsidR="003E77F1">
        <w:rPr>
          <w:sz w:val="24"/>
        </w:rPr>
        <w:t xml:space="preserve"> the passive </w:t>
      </w:r>
      <w:r w:rsidRPr="00567AEC">
        <w:rPr>
          <w:sz w:val="24"/>
        </w:rPr>
        <w:t>BlackRock global infrastructure mandate</w:t>
      </w:r>
      <w:r w:rsidR="003E77F1">
        <w:rPr>
          <w:sz w:val="24"/>
        </w:rPr>
        <w:t xml:space="preserve"> was exited</w:t>
      </w:r>
      <w:r w:rsidRPr="00567AEC">
        <w:rPr>
          <w:sz w:val="24"/>
        </w:rPr>
        <w:t xml:space="preserve">. </w:t>
      </w:r>
      <w:r w:rsidR="003E77F1">
        <w:rPr>
          <w:sz w:val="24"/>
        </w:rPr>
        <w:t xml:space="preserve">In the nine full months since inception, KKR returned 1.7%. </w:t>
      </w:r>
    </w:p>
    <w:p w14:paraId="76D0CC9A" w14:textId="77777777" w:rsidR="00EE0122" w:rsidRPr="00D505C1" w:rsidRDefault="00EE0122">
      <w:pPr>
        <w:rPr>
          <w:highlight w:val="yellow"/>
        </w:rPr>
      </w:pPr>
    </w:p>
    <w:p w14:paraId="43462FB3" w14:textId="77777777" w:rsidR="00EE0122" w:rsidRDefault="00EE0122"/>
    <w:p w14:paraId="0E32CD3D" w14:textId="69256D75" w:rsidR="00EE0122" w:rsidRPr="00A422AF" w:rsidRDefault="00844ED1" w:rsidP="00844ED1">
      <w:pPr>
        <w:jc w:val="center"/>
      </w:pPr>
      <w:r>
        <w:rPr>
          <w:noProof/>
          <w:lang w:eastAsia="ja-JP" w:bidi="ar-SA"/>
        </w:rPr>
        <w:lastRenderedPageBreak/>
        <w:drawing>
          <wp:inline distT="0" distB="0" distL="0" distR="0" wp14:anchorId="4B0AB79F" wp14:editId="000BB146">
            <wp:extent cx="4926807" cy="3899297"/>
            <wp:effectExtent l="0" t="0" r="7620" b="6350"/>
            <wp:docPr id="10" name="Chart 10">
              <a:extLst xmlns:a="http://schemas.openxmlformats.org/drawingml/2006/main">
                <a:ext uri="{FF2B5EF4-FFF2-40B4-BE49-F238E27FC236}">
                  <a16:creationId xmlns:a16="http://schemas.microsoft.com/office/drawing/2014/main" id="{442580EF-9528-695C-6854-CE911EC439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F86504" w14:textId="77777777" w:rsidR="0078012E" w:rsidRPr="00ED1552" w:rsidRDefault="003E42C5">
      <w:pPr>
        <w:pStyle w:val="Heading2"/>
        <w:spacing w:before="239"/>
      </w:pPr>
      <w:r w:rsidRPr="00ED1552">
        <w:t>Investment Performance – Rolling Four-Year Returns</w:t>
      </w:r>
    </w:p>
    <w:p w14:paraId="4D482BB6" w14:textId="4D8A6EDD" w:rsidR="0078012E" w:rsidRPr="00F449B2" w:rsidRDefault="00EE0122">
      <w:pPr>
        <w:pStyle w:val="ListParagraph"/>
        <w:numPr>
          <w:ilvl w:val="0"/>
          <w:numId w:val="1"/>
        </w:numPr>
        <w:tabs>
          <w:tab w:val="left" w:pos="384"/>
        </w:tabs>
        <w:spacing w:before="120" w:line="357" w:lineRule="auto"/>
        <w:ind w:right="694"/>
        <w:rPr>
          <w:sz w:val="24"/>
        </w:rPr>
      </w:pPr>
      <w:r w:rsidRPr="00F449B2">
        <w:rPr>
          <w:sz w:val="24"/>
        </w:rPr>
        <w:t xml:space="preserve">One </w:t>
      </w:r>
      <w:r w:rsidR="003E42C5" w:rsidRPr="00F449B2">
        <w:rPr>
          <w:sz w:val="24"/>
        </w:rPr>
        <w:t xml:space="preserve">of the </w:t>
      </w:r>
      <w:r w:rsidRPr="00F449B2">
        <w:rPr>
          <w:sz w:val="24"/>
        </w:rPr>
        <w:t xml:space="preserve">Fund’s </w:t>
      </w:r>
      <w:r w:rsidR="003E42C5" w:rsidRPr="00F449B2">
        <w:rPr>
          <w:sz w:val="24"/>
        </w:rPr>
        <w:t xml:space="preserve">investment objectives is to exceed the benchmark return over rolling four-year periods. The Total Fund return over the past four years was </w:t>
      </w:r>
      <w:r w:rsidR="00F449B2" w:rsidRPr="00F449B2">
        <w:rPr>
          <w:sz w:val="24"/>
        </w:rPr>
        <w:t>6.</w:t>
      </w:r>
      <w:r w:rsidR="002B7D35">
        <w:rPr>
          <w:sz w:val="24"/>
        </w:rPr>
        <w:t>0</w:t>
      </w:r>
      <w:r w:rsidR="003E42C5" w:rsidRPr="00F449B2">
        <w:rPr>
          <w:sz w:val="24"/>
        </w:rPr>
        <w:t xml:space="preserve">%, lagging the benchmark by </w:t>
      </w:r>
      <w:r w:rsidR="00B25461" w:rsidRPr="00F449B2">
        <w:rPr>
          <w:sz w:val="24"/>
        </w:rPr>
        <w:t>0</w:t>
      </w:r>
      <w:r w:rsidRPr="00F449B2">
        <w:rPr>
          <w:sz w:val="24"/>
        </w:rPr>
        <w:t>.</w:t>
      </w:r>
      <w:r w:rsidR="002B7D35">
        <w:rPr>
          <w:sz w:val="24"/>
        </w:rPr>
        <w:t>5</w:t>
      </w:r>
      <w:r w:rsidR="003E42C5" w:rsidRPr="00F449B2">
        <w:rPr>
          <w:sz w:val="24"/>
        </w:rPr>
        <w:t xml:space="preserve">%. </w:t>
      </w:r>
      <w:r w:rsidRPr="00F449B2">
        <w:rPr>
          <w:sz w:val="24"/>
        </w:rPr>
        <w:t xml:space="preserve">Four-year underperformance was mainly due to below index performance from GMO in global equities, as their value style </w:t>
      </w:r>
      <w:r w:rsidR="00C64C4A" w:rsidRPr="00F449B2">
        <w:rPr>
          <w:sz w:val="24"/>
        </w:rPr>
        <w:t>was</w:t>
      </w:r>
      <w:r w:rsidRPr="00F449B2">
        <w:rPr>
          <w:sz w:val="24"/>
        </w:rPr>
        <w:t xml:space="preserve"> out of favour </w:t>
      </w:r>
      <w:r w:rsidR="00CF33AF" w:rsidRPr="00F449B2">
        <w:rPr>
          <w:sz w:val="24"/>
        </w:rPr>
        <w:t xml:space="preserve">over this period. </w:t>
      </w:r>
      <w:r w:rsidR="00ED1552" w:rsidRPr="00F449B2">
        <w:rPr>
          <w:sz w:val="24"/>
        </w:rPr>
        <w:t>B</w:t>
      </w:r>
      <w:r w:rsidR="00F449B2" w:rsidRPr="00F449B2">
        <w:rPr>
          <w:sz w:val="24"/>
        </w:rPr>
        <w:t>lackRock absolute return bonds</w:t>
      </w:r>
      <w:r w:rsidR="00ED1552" w:rsidRPr="00F449B2">
        <w:rPr>
          <w:sz w:val="24"/>
        </w:rPr>
        <w:t xml:space="preserve"> </w:t>
      </w:r>
      <w:r w:rsidR="00F449B2" w:rsidRPr="00F449B2">
        <w:rPr>
          <w:sz w:val="24"/>
        </w:rPr>
        <w:t xml:space="preserve">have trailed over the </w:t>
      </w:r>
      <w:r w:rsidR="00ED1552" w:rsidRPr="00F449B2">
        <w:rPr>
          <w:sz w:val="24"/>
        </w:rPr>
        <w:t xml:space="preserve">past four years but delivered strong diversification for the plan. </w:t>
      </w:r>
      <w:r w:rsidR="003E42C5" w:rsidRPr="00F449B2">
        <w:rPr>
          <w:sz w:val="24"/>
        </w:rPr>
        <w:t xml:space="preserve">The following chart provides the longer-term track record of the Fund, with each period a rolling four-year result. Over the past 10 years, the Total Fund return was </w:t>
      </w:r>
      <w:r w:rsidR="00F449B2" w:rsidRPr="00F449B2">
        <w:rPr>
          <w:sz w:val="24"/>
        </w:rPr>
        <w:t>7.5</w:t>
      </w:r>
      <w:r w:rsidR="003E42C5" w:rsidRPr="00F449B2">
        <w:rPr>
          <w:sz w:val="24"/>
        </w:rPr>
        <w:t xml:space="preserve">% per year, which </w:t>
      </w:r>
      <w:r w:rsidR="00244F6B">
        <w:rPr>
          <w:sz w:val="24"/>
        </w:rPr>
        <w:t>was</w:t>
      </w:r>
      <w:r w:rsidRPr="00F449B2">
        <w:rPr>
          <w:sz w:val="24"/>
        </w:rPr>
        <w:t xml:space="preserve"> </w:t>
      </w:r>
      <w:r w:rsidR="003E42C5" w:rsidRPr="00F449B2">
        <w:rPr>
          <w:sz w:val="24"/>
        </w:rPr>
        <w:t>0.</w:t>
      </w:r>
      <w:r w:rsidR="00F449B2" w:rsidRPr="00F449B2">
        <w:rPr>
          <w:sz w:val="24"/>
        </w:rPr>
        <w:t>2</w:t>
      </w:r>
      <w:r w:rsidR="003E42C5" w:rsidRPr="00F449B2">
        <w:rPr>
          <w:sz w:val="24"/>
        </w:rPr>
        <w:t xml:space="preserve">% </w:t>
      </w:r>
      <w:r w:rsidR="00F449B2" w:rsidRPr="00F449B2">
        <w:rPr>
          <w:sz w:val="24"/>
        </w:rPr>
        <w:t>below</w:t>
      </w:r>
      <w:r w:rsidR="003E42C5" w:rsidRPr="00F449B2">
        <w:rPr>
          <w:sz w:val="24"/>
        </w:rPr>
        <w:t xml:space="preserve"> the benchmark</w:t>
      </w:r>
      <w:r w:rsidR="003E42C5" w:rsidRPr="00F449B2">
        <w:rPr>
          <w:spacing w:val="-7"/>
          <w:sz w:val="24"/>
        </w:rPr>
        <w:t xml:space="preserve"> </w:t>
      </w:r>
      <w:r w:rsidR="003E42C5" w:rsidRPr="00F449B2">
        <w:rPr>
          <w:sz w:val="24"/>
        </w:rPr>
        <w:t>return.</w:t>
      </w:r>
    </w:p>
    <w:p w14:paraId="64C1B61D" w14:textId="77777777" w:rsidR="0078012E" w:rsidRPr="00A422AF" w:rsidRDefault="0078012E">
      <w:pPr>
        <w:pStyle w:val="BodyText"/>
        <w:spacing w:before="5"/>
        <w:rPr>
          <w:sz w:val="14"/>
        </w:rPr>
      </w:pPr>
    </w:p>
    <w:p w14:paraId="76745DEF" w14:textId="77777777" w:rsidR="0078012E" w:rsidRDefault="0078012E" w:rsidP="00A422AF">
      <w:pPr>
        <w:pStyle w:val="BodyText"/>
        <w:spacing w:before="5"/>
        <w:jc w:val="center"/>
      </w:pPr>
    </w:p>
    <w:p w14:paraId="69448D23" w14:textId="77777777" w:rsidR="00217176" w:rsidRDefault="00217176" w:rsidP="00A422AF">
      <w:pPr>
        <w:pStyle w:val="BodyText"/>
        <w:spacing w:before="5"/>
        <w:jc w:val="center"/>
      </w:pPr>
    </w:p>
    <w:p w14:paraId="05E7668A" w14:textId="45170316" w:rsidR="00B25461" w:rsidRDefault="00844ED1" w:rsidP="00A422AF">
      <w:pPr>
        <w:pStyle w:val="BodyText"/>
        <w:spacing w:before="5"/>
        <w:jc w:val="center"/>
      </w:pPr>
      <w:r>
        <w:rPr>
          <w:noProof/>
          <w:lang w:eastAsia="ja-JP" w:bidi="ar-SA"/>
        </w:rPr>
        <w:lastRenderedPageBreak/>
        <w:drawing>
          <wp:inline distT="0" distB="0" distL="0" distR="0" wp14:anchorId="054BB52C" wp14:editId="1EDE3CAF">
            <wp:extent cx="3597430" cy="2993870"/>
            <wp:effectExtent l="0" t="0" r="3175" b="0"/>
            <wp:docPr id="7" name="Chart 7">
              <a:extLst xmlns:a="http://schemas.openxmlformats.org/drawingml/2006/main">
                <a:ext uri="{FF2B5EF4-FFF2-40B4-BE49-F238E27FC236}">
                  <a16:creationId xmlns:a16="http://schemas.microsoft.com/office/drawing/2014/main" id="{DF8B533F-5C54-C0F7-9092-AC52FC2B98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7E124C" w14:textId="77777777" w:rsidR="00F449B2" w:rsidRPr="00A422AF" w:rsidRDefault="00F449B2" w:rsidP="00A422AF">
      <w:pPr>
        <w:pStyle w:val="BodyText"/>
        <w:spacing w:before="5"/>
        <w:jc w:val="center"/>
      </w:pPr>
    </w:p>
    <w:p w14:paraId="1955620D" w14:textId="77777777" w:rsidR="0078012E" w:rsidRPr="00ED1552" w:rsidRDefault="003E42C5">
      <w:pPr>
        <w:pStyle w:val="Heading2"/>
      </w:pPr>
      <w:r w:rsidRPr="00ED1552">
        <w:t>Investment Performance – Relative to Peers</w:t>
      </w:r>
    </w:p>
    <w:p w14:paraId="7B9F3CC0" w14:textId="77777777" w:rsidR="0078012E" w:rsidRPr="00ED1552" w:rsidRDefault="0078012E">
      <w:pPr>
        <w:pStyle w:val="BodyText"/>
        <w:spacing w:before="5"/>
        <w:rPr>
          <w:b/>
          <w:i/>
          <w:sz w:val="22"/>
        </w:rPr>
      </w:pPr>
    </w:p>
    <w:p w14:paraId="26EA7C26" w14:textId="77777777" w:rsidR="0078012E" w:rsidRPr="00F449B2" w:rsidRDefault="003E42C5">
      <w:pPr>
        <w:pStyle w:val="ListParagraph"/>
        <w:numPr>
          <w:ilvl w:val="0"/>
          <w:numId w:val="1"/>
        </w:numPr>
        <w:tabs>
          <w:tab w:val="left" w:pos="384"/>
        </w:tabs>
        <w:spacing w:line="357" w:lineRule="auto"/>
        <w:ind w:right="692"/>
        <w:rPr>
          <w:sz w:val="24"/>
        </w:rPr>
      </w:pPr>
      <w:r w:rsidRPr="00F449B2">
        <w:rPr>
          <w:sz w:val="24"/>
        </w:rPr>
        <w:t xml:space="preserve">In addition to monitoring performance relative to the benchmark return, the Fund performance can be put in perspective by comparing the result against those of a universe of institutional funds. The following table shows the Total Fund return and individual asset class returns relative to other funds in the Aon </w:t>
      </w:r>
      <w:r w:rsidR="00C64C4A" w:rsidRPr="00F449B2">
        <w:rPr>
          <w:sz w:val="24"/>
        </w:rPr>
        <w:t xml:space="preserve">Peer </w:t>
      </w:r>
      <w:r w:rsidRPr="00F449B2">
        <w:rPr>
          <w:sz w:val="24"/>
        </w:rPr>
        <w:t>Universe</w:t>
      </w:r>
      <w:r w:rsidR="00C64C4A" w:rsidRPr="00F449B2">
        <w:rPr>
          <w:sz w:val="24"/>
        </w:rPr>
        <w:t>s</w:t>
      </w:r>
      <w:r w:rsidRPr="00F449B2">
        <w:rPr>
          <w:sz w:val="24"/>
        </w:rPr>
        <w:t xml:space="preserve"> over the past year and four-year</w:t>
      </w:r>
      <w:r w:rsidRPr="00F449B2">
        <w:rPr>
          <w:spacing w:val="-2"/>
          <w:sz w:val="24"/>
        </w:rPr>
        <w:t xml:space="preserve"> </w:t>
      </w:r>
      <w:r w:rsidRPr="00F449B2">
        <w:rPr>
          <w:sz w:val="24"/>
        </w:rPr>
        <w:t>periods.</w:t>
      </w:r>
    </w:p>
    <w:p w14:paraId="0CA994F3" w14:textId="63FB7A61" w:rsidR="0078012E" w:rsidRPr="006323DE" w:rsidRDefault="003E42C5">
      <w:pPr>
        <w:pStyle w:val="ListParagraph"/>
        <w:numPr>
          <w:ilvl w:val="0"/>
          <w:numId w:val="1"/>
        </w:numPr>
        <w:tabs>
          <w:tab w:val="left" w:pos="384"/>
        </w:tabs>
        <w:spacing w:before="2" w:line="352" w:lineRule="auto"/>
        <w:ind w:right="813"/>
        <w:rPr>
          <w:sz w:val="24"/>
        </w:rPr>
      </w:pPr>
      <w:r w:rsidRPr="006323DE">
        <w:rPr>
          <w:sz w:val="24"/>
        </w:rPr>
        <w:t xml:space="preserve">The </w:t>
      </w:r>
      <w:r w:rsidR="00CF33AF" w:rsidRPr="006323DE">
        <w:rPr>
          <w:sz w:val="24"/>
        </w:rPr>
        <w:t>202</w:t>
      </w:r>
      <w:r w:rsidR="00F449B2" w:rsidRPr="006323DE">
        <w:rPr>
          <w:sz w:val="24"/>
        </w:rPr>
        <w:t>3</w:t>
      </w:r>
      <w:r w:rsidR="00CF33AF" w:rsidRPr="006323DE">
        <w:rPr>
          <w:sz w:val="24"/>
        </w:rPr>
        <w:t xml:space="preserve"> </w:t>
      </w:r>
      <w:r w:rsidRPr="006323DE">
        <w:rPr>
          <w:sz w:val="24"/>
        </w:rPr>
        <w:t xml:space="preserve">Total Fund result of </w:t>
      </w:r>
      <w:r w:rsidR="00F449B2" w:rsidRPr="006323DE">
        <w:rPr>
          <w:sz w:val="24"/>
        </w:rPr>
        <w:t>10.5</w:t>
      </w:r>
      <w:r w:rsidRPr="006323DE">
        <w:rPr>
          <w:sz w:val="24"/>
        </w:rPr>
        <w:t xml:space="preserve">% placed </w:t>
      </w:r>
      <w:r w:rsidR="00504216" w:rsidRPr="006323DE">
        <w:rPr>
          <w:sz w:val="24"/>
        </w:rPr>
        <w:t xml:space="preserve">in the </w:t>
      </w:r>
      <w:r w:rsidR="00F449B2" w:rsidRPr="006323DE">
        <w:rPr>
          <w:sz w:val="24"/>
        </w:rPr>
        <w:t>third</w:t>
      </w:r>
      <w:r w:rsidR="00504216" w:rsidRPr="006323DE">
        <w:rPr>
          <w:sz w:val="24"/>
        </w:rPr>
        <w:t xml:space="preserve"> quartile</w:t>
      </w:r>
      <w:r w:rsidR="009E2815" w:rsidRPr="006323DE">
        <w:rPr>
          <w:sz w:val="24"/>
        </w:rPr>
        <w:t xml:space="preserve"> of the </w:t>
      </w:r>
      <w:bookmarkStart w:id="0" w:name="_Hlk97730355"/>
      <w:r w:rsidR="006323DE" w:rsidRPr="006323DE">
        <w:rPr>
          <w:sz w:val="24"/>
        </w:rPr>
        <w:t xml:space="preserve">Balanced </w:t>
      </w:r>
      <w:r w:rsidR="009E2815" w:rsidRPr="006323DE">
        <w:rPr>
          <w:sz w:val="24"/>
        </w:rPr>
        <w:t>Fund Universe</w:t>
      </w:r>
      <w:bookmarkEnd w:id="0"/>
      <w:r w:rsidR="00504216" w:rsidRPr="006323DE">
        <w:rPr>
          <w:sz w:val="24"/>
        </w:rPr>
        <w:t xml:space="preserve">, </w:t>
      </w:r>
      <w:r w:rsidR="00F449B2" w:rsidRPr="006323DE">
        <w:rPr>
          <w:sz w:val="24"/>
        </w:rPr>
        <w:t>below</w:t>
      </w:r>
      <w:r w:rsidR="00504216" w:rsidRPr="006323DE">
        <w:rPr>
          <w:sz w:val="24"/>
        </w:rPr>
        <w:t xml:space="preserve"> the </w:t>
      </w:r>
      <w:r w:rsidR="00F449B2" w:rsidRPr="006323DE">
        <w:rPr>
          <w:sz w:val="24"/>
        </w:rPr>
        <w:t>10.9</w:t>
      </w:r>
      <w:r w:rsidRPr="006323DE">
        <w:rPr>
          <w:sz w:val="24"/>
        </w:rPr>
        <w:t>% return earned by the median</w:t>
      </w:r>
      <w:r w:rsidR="00071618" w:rsidRPr="006323DE">
        <w:rPr>
          <w:sz w:val="24"/>
        </w:rPr>
        <w:t xml:space="preserve"> </w:t>
      </w:r>
      <w:r w:rsidR="009E2815" w:rsidRPr="006323DE">
        <w:rPr>
          <w:sz w:val="24"/>
        </w:rPr>
        <w:t>fund</w:t>
      </w:r>
      <w:r w:rsidR="00A97576" w:rsidRPr="006323DE">
        <w:rPr>
          <w:sz w:val="24"/>
        </w:rPr>
        <w:t>.</w:t>
      </w:r>
      <w:r w:rsidRPr="006323DE">
        <w:rPr>
          <w:sz w:val="24"/>
        </w:rPr>
        <w:t xml:space="preserve"> Over the past four years, the Total Fund return of </w:t>
      </w:r>
      <w:r w:rsidR="005834A0" w:rsidRPr="006323DE">
        <w:rPr>
          <w:sz w:val="24"/>
        </w:rPr>
        <w:t>6.0</w:t>
      </w:r>
      <w:r w:rsidRPr="006323DE">
        <w:rPr>
          <w:sz w:val="24"/>
        </w:rPr>
        <w:t>%</w:t>
      </w:r>
      <w:r w:rsidR="00ED1552" w:rsidRPr="006323DE">
        <w:rPr>
          <w:sz w:val="24"/>
        </w:rPr>
        <w:t xml:space="preserve"> </w:t>
      </w:r>
      <w:r w:rsidR="005834A0" w:rsidRPr="006323DE">
        <w:rPr>
          <w:sz w:val="24"/>
        </w:rPr>
        <w:t>trailed</w:t>
      </w:r>
      <w:r w:rsidRPr="006323DE">
        <w:rPr>
          <w:sz w:val="24"/>
        </w:rPr>
        <w:t xml:space="preserve"> the </w:t>
      </w:r>
      <w:r w:rsidR="005834A0" w:rsidRPr="006323DE">
        <w:rPr>
          <w:sz w:val="24"/>
        </w:rPr>
        <w:t>6</w:t>
      </w:r>
      <w:r w:rsidR="009E2815" w:rsidRPr="006323DE">
        <w:rPr>
          <w:sz w:val="24"/>
        </w:rPr>
        <w:t>.</w:t>
      </w:r>
      <w:r w:rsidR="00ED1552" w:rsidRPr="006323DE">
        <w:rPr>
          <w:sz w:val="24"/>
        </w:rPr>
        <w:t>2</w:t>
      </w:r>
      <w:r w:rsidRPr="006323DE">
        <w:rPr>
          <w:sz w:val="24"/>
        </w:rPr>
        <w:t xml:space="preserve">% median </w:t>
      </w:r>
      <w:r w:rsidR="00071618" w:rsidRPr="006323DE">
        <w:rPr>
          <w:sz w:val="24"/>
        </w:rPr>
        <w:t>fund</w:t>
      </w:r>
      <w:r w:rsidR="00071618" w:rsidRPr="006323DE">
        <w:rPr>
          <w:spacing w:val="-4"/>
          <w:sz w:val="24"/>
        </w:rPr>
        <w:t xml:space="preserve"> </w:t>
      </w:r>
      <w:r w:rsidRPr="006323DE">
        <w:rPr>
          <w:sz w:val="24"/>
        </w:rPr>
        <w:t>result.</w:t>
      </w:r>
    </w:p>
    <w:p w14:paraId="60C3EB44" w14:textId="77777777" w:rsidR="0078012E" w:rsidRPr="009E2815" w:rsidRDefault="0078012E">
      <w:pPr>
        <w:spacing w:line="352" w:lineRule="auto"/>
        <w:rPr>
          <w:sz w:val="24"/>
        </w:rPr>
        <w:sectPr w:rsidR="0078012E" w:rsidRPr="009E2815">
          <w:pgSz w:w="12240" w:h="15840"/>
          <w:pgMar w:top="1500" w:right="1120" w:bottom="1260" w:left="1340" w:header="0" w:footer="1060" w:gutter="0"/>
          <w:cols w:space="720"/>
        </w:sectPr>
      </w:pPr>
    </w:p>
    <w:p w14:paraId="57258A5C" w14:textId="77777777" w:rsidR="0078012E" w:rsidRPr="00D505C1" w:rsidRDefault="0078012E">
      <w:pPr>
        <w:pStyle w:val="BodyText"/>
        <w:rPr>
          <w:sz w:val="20"/>
          <w:highlight w:val="yellow"/>
        </w:rPr>
      </w:pPr>
    </w:p>
    <w:p w14:paraId="5639D286" w14:textId="77777777" w:rsidR="0078012E" w:rsidRPr="00D505C1" w:rsidRDefault="0078012E">
      <w:pPr>
        <w:pStyle w:val="BodyText"/>
        <w:spacing w:before="4"/>
        <w:rPr>
          <w:sz w:val="21"/>
          <w:highlight w:val="yellow"/>
        </w:rPr>
      </w:pPr>
    </w:p>
    <w:tbl>
      <w:tblPr>
        <w:tblW w:w="0" w:type="auto"/>
        <w:tblInd w:w="110" w:type="dxa"/>
        <w:tblLayout w:type="fixed"/>
        <w:tblCellMar>
          <w:left w:w="0" w:type="dxa"/>
          <w:right w:w="0" w:type="dxa"/>
        </w:tblCellMar>
        <w:tblLook w:val="01E0" w:firstRow="1" w:lastRow="1" w:firstColumn="1" w:lastColumn="1" w:noHBand="0" w:noVBand="0"/>
      </w:tblPr>
      <w:tblGrid>
        <w:gridCol w:w="3909"/>
        <w:gridCol w:w="2885"/>
        <w:gridCol w:w="2768"/>
      </w:tblGrid>
      <w:tr w:rsidR="0078012E" w:rsidRPr="00D505C1" w14:paraId="6AF14EB6" w14:textId="77777777">
        <w:trPr>
          <w:trHeight w:val="520"/>
        </w:trPr>
        <w:tc>
          <w:tcPr>
            <w:tcW w:w="3909" w:type="dxa"/>
            <w:tcBorders>
              <w:top w:val="single" w:sz="4" w:space="0" w:color="000000"/>
              <w:left w:val="single" w:sz="4" w:space="0" w:color="000000"/>
            </w:tcBorders>
            <w:shd w:val="clear" w:color="auto" w:fill="FFC000"/>
          </w:tcPr>
          <w:p w14:paraId="034E3620" w14:textId="6E80FEED" w:rsidR="0078012E" w:rsidRPr="00A422AF" w:rsidRDefault="006C500C">
            <w:pPr>
              <w:pStyle w:val="TableParagraph"/>
              <w:ind w:left="107"/>
              <w:rPr>
                <w:b/>
                <w:sz w:val="19"/>
              </w:rPr>
            </w:pPr>
            <w:r w:rsidRPr="00A422AF">
              <w:rPr>
                <w:b/>
                <w:sz w:val="24"/>
              </w:rPr>
              <w:t>202</w:t>
            </w:r>
            <w:r w:rsidR="005834A0">
              <w:rPr>
                <w:b/>
                <w:sz w:val="24"/>
              </w:rPr>
              <w:t>3</w:t>
            </w:r>
            <w:r w:rsidRPr="00A422AF">
              <w:rPr>
                <w:b/>
                <w:sz w:val="24"/>
              </w:rPr>
              <w:t xml:space="preserve"> </w:t>
            </w:r>
            <w:r w:rsidR="003E42C5" w:rsidRPr="00A422AF">
              <w:rPr>
                <w:b/>
                <w:sz w:val="24"/>
              </w:rPr>
              <w:t>R</w:t>
            </w:r>
            <w:r w:rsidR="003E42C5" w:rsidRPr="00A422AF">
              <w:rPr>
                <w:b/>
                <w:sz w:val="19"/>
              </w:rPr>
              <w:t xml:space="preserve">ELATIVE </w:t>
            </w:r>
            <w:r w:rsidR="003E42C5" w:rsidRPr="00A422AF">
              <w:rPr>
                <w:b/>
                <w:sz w:val="24"/>
              </w:rPr>
              <w:t>P</w:t>
            </w:r>
            <w:r w:rsidR="003E42C5" w:rsidRPr="00A422AF">
              <w:rPr>
                <w:b/>
                <w:sz w:val="19"/>
              </w:rPr>
              <w:t>ERFORMANCE</w:t>
            </w:r>
          </w:p>
        </w:tc>
        <w:tc>
          <w:tcPr>
            <w:tcW w:w="2885" w:type="dxa"/>
            <w:tcBorders>
              <w:top w:val="single" w:sz="4" w:space="0" w:color="000000"/>
            </w:tcBorders>
            <w:shd w:val="clear" w:color="auto" w:fill="FFC000"/>
          </w:tcPr>
          <w:p w14:paraId="6A7F1C20" w14:textId="77777777" w:rsidR="0078012E" w:rsidRPr="00D505C1" w:rsidRDefault="0078012E">
            <w:pPr>
              <w:pStyle w:val="TableParagraph"/>
              <w:spacing w:before="0"/>
              <w:rPr>
                <w:rFonts w:ascii="Times New Roman"/>
                <w:highlight w:val="yellow"/>
              </w:rPr>
            </w:pPr>
          </w:p>
        </w:tc>
        <w:tc>
          <w:tcPr>
            <w:tcW w:w="2768" w:type="dxa"/>
            <w:tcBorders>
              <w:top w:val="single" w:sz="4" w:space="0" w:color="000000"/>
              <w:right w:val="single" w:sz="4" w:space="0" w:color="000000"/>
            </w:tcBorders>
            <w:shd w:val="clear" w:color="auto" w:fill="FFC000"/>
          </w:tcPr>
          <w:p w14:paraId="2966E1CD" w14:textId="77777777" w:rsidR="0078012E" w:rsidRPr="00D505C1" w:rsidRDefault="0078012E">
            <w:pPr>
              <w:pStyle w:val="TableParagraph"/>
              <w:spacing w:before="0"/>
              <w:rPr>
                <w:rFonts w:ascii="Times New Roman"/>
                <w:highlight w:val="yellow"/>
              </w:rPr>
            </w:pPr>
          </w:p>
        </w:tc>
      </w:tr>
      <w:tr w:rsidR="0078012E" w:rsidRPr="00D505C1" w14:paraId="3FC557D7" w14:textId="77777777">
        <w:trPr>
          <w:trHeight w:val="551"/>
        </w:trPr>
        <w:tc>
          <w:tcPr>
            <w:tcW w:w="3909" w:type="dxa"/>
            <w:tcBorders>
              <w:left w:val="single" w:sz="4" w:space="0" w:color="000000"/>
              <w:bottom w:val="single" w:sz="4" w:space="0" w:color="000000"/>
            </w:tcBorders>
            <w:shd w:val="clear" w:color="auto" w:fill="FFC000"/>
          </w:tcPr>
          <w:p w14:paraId="466582C5" w14:textId="77777777" w:rsidR="0078012E" w:rsidRPr="00A422AF" w:rsidRDefault="003E42C5">
            <w:pPr>
              <w:pStyle w:val="TableParagraph"/>
              <w:spacing w:before="136"/>
              <w:ind w:left="107"/>
              <w:rPr>
                <w:sz w:val="24"/>
              </w:rPr>
            </w:pPr>
            <w:r w:rsidRPr="00A422AF">
              <w:rPr>
                <w:sz w:val="24"/>
              </w:rPr>
              <w:t>Asset Class</w:t>
            </w:r>
          </w:p>
        </w:tc>
        <w:tc>
          <w:tcPr>
            <w:tcW w:w="2885" w:type="dxa"/>
            <w:tcBorders>
              <w:bottom w:val="single" w:sz="4" w:space="0" w:color="000000"/>
            </w:tcBorders>
            <w:shd w:val="clear" w:color="auto" w:fill="FFC000"/>
          </w:tcPr>
          <w:p w14:paraId="3F5693B6" w14:textId="2F8E0430" w:rsidR="0078012E" w:rsidRPr="00A422AF" w:rsidRDefault="00CF33AF">
            <w:pPr>
              <w:pStyle w:val="TableParagraph"/>
              <w:spacing w:before="132"/>
              <w:ind w:left="975" w:right="473"/>
              <w:jc w:val="center"/>
              <w:rPr>
                <w:sz w:val="14"/>
              </w:rPr>
            </w:pPr>
            <w:r w:rsidRPr="00A422AF">
              <w:rPr>
                <w:sz w:val="24"/>
              </w:rPr>
              <w:t>202</w:t>
            </w:r>
            <w:r w:rsidR="005834A0">
              <w:rPr>
                <w:sz w:val="24"/>
              </w:rPr>
              <w:t>3</w:t>
            </w:r>
            <w:r w:rsidRPr="00A422AF">
              <w:rPr>
                <w:sz w:val="24"/>
              </w:rPr>
              <w:t xml:space="preserve"> </w:t>
            </w:r>
            <w:r w:rsidR="003E42C5" w:rsidRPr="00A422AF">
              <w:rPr>
                <w:sz w:val="24"/>
              </w:rPr>
              <w:t xml:space="preserve">Quartile </w:t>
            </w:r>
            <w:r w:rsidR="003E42C5" w:rsidRPr="00A422AF">
              <w:rPr>
                <w:position w:val="9"/>
                <w:sz w:val="14"/>
              </w:rPr>
              <w:t>1</w:t>
            </w:r>
          </w:p>
        </w:tc>
        <w:tc>
          <w:tcPr>
            <w:tcW w:w="2768" w:type="dxa"/>
            <w:tcBorders>
              <w:bottom w:val="single" w:sz="4" w:space="0" w:color="000000"/>
              <w:right w:val="single" w:sz="4" w:space="0" w:color="000000"/>
            </w:tcBorders>
            <w:shd w:val="clear" w:color="auto" w:fill="FFC000"/>
          </w:tcPr>
          <w:p w14:paraId="776D8647" w14:textId="77777777" w:rsidR="0078012E" w:rsidRPr="00A422AF" w:rsidRDefault="003E42C5">
            <w:pPr>
              <w:pStyle w:val="TableParagraph"/>
              <w:spacing w:before="132"/>
              <w:ind w:left="482" w:right="671"/>
              <w:jc w:val="center"/>
              <w:rPr>
                <w:sz w:val="14"/>
              </w:rPr>
            </w:pPr>
            <w:r w:rsidRPr="00A422AF">
              <w:rPr>
                <w:sz w:val="24"/>
              </w:rPr>
              <w:t xml:space="preserve">4-Year Quartile </w:t>
            </w:r>
            <w:r w:rsidRPr="00A422AF">
              <w:rPr>
                <w:position w:val="9"/>
                <w:sz w:val="14"/>
              </w:rPr>
              <w:t>1</w:t>
            </w:r>
          </w:p>
        </w:tc>
      </w:tr>
      <w:tr w:rsidR="0078012E" w:rsidRPr="00D505C1" w14:paraId="4417C7DE" w14:textId="77777777">
        <w:trPr>
          <w:trHeight w:val="511"/>
        </w:trPr>
        <w:tc>
          <w:tcPr>
            <w:tcW w:w="3909" w:type="dxa"/>
            <w:tcBorders>
              <w:top w:val="single" w:sz="4" w:space="0" w:color="000000"/>
              <w:left w:val="single" w:sz="4" w:space="0" w:color="000000"/>
            </w:tcBorders>
          </w:tcPr>
          <w:p w14:paraId="10C7AB4D" w14:textId="77777777" w:rsidR="0078012E" w:rsidRPr="00A422AF" w:rsidRDefault="003E42C5">
            <w:pPr>
              <w:pStyle w:val="TableParagraph"/>
              <w:spacing w:before="121"/>
              <w:ind w:left="107"/>
              <w:rPr>
                <w:sz w:val="24"/>
              </w:rPr>
            </w:pPr>
            <w:r w:rsidRPr="00A422AF">
              <w:rPr>
                <w:sz w:val="24"/>
              </w:rPr>
              <w:t>Canadian equities</w:t>
            </w:r>
          </w:p>
        </w:tc>
        <w:tc>
          <w:tcPr>
            <w:tcW w:w="2885" w:type="dxa"/>
            <w:tcBorders>
              <w:top w:val="single" w:sz="4" w:space="0" w:color="000000"/>
            </w:tcBorders>
          </w:tcPr>
          <w:p w14:paraId="5703546E" w14:textId="15687036" w:rsidR="0078012E" w:rsidRPr="00504216" w:rsidRDefault="005834A0">
            <w:pPr>
              <w:pStyle w:val="TableParagraph"/>
              <w:spacing w:before="121"/>
              <w:ind w:left="504"/>
              <w:jc w:val="center"/>
              <w:rPr>
                <w:sz w:val="24"/>
              </w:rPr>
            </w:pPr>
            <w:r>
              <w:rPr>
                <w:sz w:val="24"/>
              </w:rPr>
              <w:t>2</w:t>
            </w:r>
          </w:p>
        </w:tc>
        <w:tc>
          <w:tcPr>
            <w:tcW w:w="2768" w:type="dxa"/>
            <w:tcBorders>
              <w:top w:val="single" w:sz="4" w:space="0" w:color="000000"/>
              <w:right w:val="single" w:sz="4" w:space="0" w:color="000000"/>
            </w:tcBorders>
          </w:tcPr>
          <w:p w14:paraId="35CAE74A" w14:textId="77777777" w:rsidR="0078012E" w:rsidRPr="00504216" w:rsidRDefault="0069579F">
            <w:pPr>
              <w:pStyle w:val="TableParagraph"/>
              <w:spacing w:before="121"/>
              <w:ind w:right="191"/>
              <w:jc w:val="center"/>
              <w:rPr>
                <w:sz w:val="24"/>
              </w:rPr>
            </w:pPr>
            <w:r>
              <w:rPr>
                <w:sz w:val="24"/>
              </w:rPr>
              <w:t>3</w:t>
            </w:r>
          </w:p>
        </w:tc>
      </w:tr>
      <w:tr w:rsidR="0078012E" w:rsidRPr="00D505C1" w14:paraId="20572EF4" w14:textId="77777777">
        <w:trPr>
          <w:trHeight w:val="510"/>
        </w:trPr>
        <w:tc>
          <w:tcPr>
            <w:tcW w:w="3909" w:type="dxa"/>
            <w:tcBorders>
              <w:left w:val="single" w:sz="4" w:space="0" w:color="000000"/>
            </w:tcBorders>
          </w:tcPr>
          <w:p w14:paraId="5F5B5C26" w14:textId="77777777" w:rsidR="0078012E" w:rsidRPr="00A422AF" w:rsidRDefault="003E42C5">
            <w:pPr>
              <w:pStyle w:val="TableParagraph"/>
              <w:ind w:left="107"/>
              <w:rPr>
                <w:sz w:val="24"/>
              </w:rPr>
            </w:pPr>
            <w:r w:rsidRPr="00A422AF">
              <w:rPr>
                <w:sz w:val="24"/>
              </w:rPr>
              <w:t>U.S. equities</w:t>
            </w:r>
          </w:p>
        </w:tc>
        <w:tc>
          <w:tcPr>
            <w:tcW w:w="2885" w:type="dxa"/>
          </w:tcPr>
          <w:p w14:paraId="4EEB091A" w14:textId="01FFD2EE" w:rsidR="0078012E" w:rsidRPr="00504216" w:rsidRDefault="005834A0">
            <w:pPr>
              <w:pStyle w:val="TableParagraph"/>
              <w:ind w:left="504"/>
              <w:jc w:val="center"/>
              <w:rPr>
                <w:sz w:val="24"/>
              </w:rPr>
            </w:pPr>
            <w:r>
              <w:rPr>
                <w:sz w:val="24"/>
              </w:rPr>
              <w:t>2</w:t>
            </w:r>
          </w:p>
        </w:tc>
        <w:tc>
          <w:tcPr>
            <w:tcW w:w="2768" w:type="dxa"/>
            <w:tcBorders>
              <w:right w:val="single" w:sz="4" w:space="0" w:color="000000"/>
            </w:tcBorders>
          </w:tcPr>
          <w:p w14:paraId="29C9087B" w14:textId="77777777" w:rsidR="0078012E" w:rsidRPr="00504216" w:rsidRDefault="003E42C5">
            <w:pPr>
              <w:pStyle w:val="TableParagraph"/>
              <w:ind w:right="191"/>
              <w:jc w:val="center"/>
              <w:rPr>
                <w:sz w:val="24"/>
              </w:rPr>
            </w:pPr>
            <w:r w:rsidRPr="00504216">
              <w:rPr>
                <w:sz w:val="24"/>
              </w:rPr>
              <w:t>2</w:t>
            </w:r>
          </w:p>
        </w:tc>
      </w:tr>
      <w:tr w:rsidR="0078012E" w:rsidRPr="00D505C1" w14:paraId="74972B58" w14:textId="77777777">
        <w:trPr>
          <w:trHeight w:val="510"/>
        </w:trPr>
        <w:tc>
          <w:tcPr>
            <w:tcW w:w="3909" w:type="dxa"/>
            <w:tcBorders>
              <w:left w:val="single" w:sz="4" w:space="0" w:color="000000"/>
            </w:tcBorders>
          </w:tcPr>
          <w:p w14:paraId="4BB0F911" w14:textId="77777777" w:rsidR="0078012E" w:rsidRPr="00504216" w:rsidRDefault="003E42C5">
            <w:pPr>
              <w:pStyle w:val="TableParagraph"/>
              <w:spacing w:before="120"/>
              <w:ind w:left="107"/>
              <w:rPr>
                <w:sz w:val="24"/>
              </w:rPr>
            </w:pPr>
            <w:r w:rsidRPr="00504216">
              <w:rPr>
                <w:sz w:val="24"/>
              </w:rPr>
              <w:t>Non-North American equities</w:t>
            </w:r>
          </w:p>
        </w:tc>
        <w:tc>
          <w:tcPr>
            <w:tcW w:w="2885" w:type="dxa"/>
          </w:tcPr>
          <w:p w14:paraId="5F4FE461" w14:textId="45430D36" w:rsidR="0078012E" w:rsidRPr="00504216" w:rsidRDefault="005834A0">
            <w:pPr>
              <w:pStyle w:val="TableParagraph"/>
              <w:spacing w:before="120"/>
              <w:ind w:left="504"/>
              <w:jc w:val="center"/>
              <w:rPr>
                <w:sz w:val="24"/>
              </w:rPr>
            </w:pPr>
            <w:r>
              <w:rPr>
                <w:sz w:val="24"/>
              </w:rPr>
              <w:t>3</w:t>
            </w:r>
          </w:p>
        </w:tc>
        <w:tc>
          <w:tcPr>
            <w:tcW w:w="2768" w:type="dxa"/>
            <w:tcBorders>
              <w:right w:val="single" w:sz="4" w:space="0" w:color="000000"/>
            </w:tcBorders>
          </w:tcPr>
          <w:p w14:paraId="16F949F6" w14:textId="77777777" w:rsidR="0078012E" w:rsidRPr="00504216" w:rsidRDefault="0069579F">
            <w:pPr>
              <w:pStyle w:val="TableParagraph"/>
              <w:spacing w:before="120"/>
              <w:ind w:right="191"/>
              <w:jc w:val="center"/>
              <w:rPr>
                <w:sz w:val="24"/>
              </w:rPr>
            </w:pPr>
            <w:r>
              <w:rPr>
                <w:sz w:val="24"/>
              </w:rPr>
              <w:t>4</w:t>
            </w:r>
          </w:p>
        </w:tc>
      </w:tr>
      <w:tr w:rsidR="0078012E" w:rsidRPr="00D505C1" w14:paraId="4A1C719A" w14:textId="77777777">
        <w:trPr>
          <w:trHeight w:val="510"/>
        </w:trPr>
        <w:tc>
          <w:tcPr>
            <w:tcW w:w="3909" w:type="dxa"/>
            <w:tcBorders>
              <w:left w:val="single" w:sz="4" w:space="0" w:color="000000"/>
            </w:tcBorders>
          </w:tcPr>
          <w:p w14:paraId="20072067" w14:textId="77777777" w:rsidR="0078012E" w:rsidRPr="00A422AF" w:rsidRDefault="003E42C5">
            <w:pPr>
              <w:pStyle w:val="TableParagraph"/>
              <w:spacing w:before="121"/>
              <w:ind w:left="107"/>
              <w:rPr>
                <w:sz w:val="24"/>
              </w:rPr>
            </w:pPr>
            <w:r w:rsidRPr="00A422AF">
              <w:rPr>
                <w:sz w:val="24"/>
              </w:rPr>
              <w:t>Emerging Market equities</w:t>
            </w:r>
          </w:p>
        </w:tc>
        <w:tc>
          <w:tcPr>
            <w:tcW w:w="2885" w:type="dxa"/>
          </w:tcPr>
          <w:p w14:paraId="4C72CDE8" w14:textId="77777777" w:rsidR="0078012E" w:rsidRPr="00504216" w:rsidRDefault="0069579F">
            <w:pPr>
              <w:pStyle w:val="TableParagraph"/>
              <w:spacing w:before="121"/>
              <w:ind w:left="504"/>
              <w:jc w:val="center"/>
              <w:rPr>
                <w:sz w:val="24"/>
              </w:rPr>
            </w:pPr>
            <w:r>
              <w:rPr>
                <w:sz w:val="24"/>
              </w:rPr>
              <w:t>3</w:t>
            </w:r>
          </w:p>
        </w:tc>
        <w:tc>
          <w:tcPr>
            <w:tcW w:w="2768" w:type="dxa"/>
            <w:tcBorders>
              <w:right w:val="single" w:sz="4" w:space="0" w:color="000000"/>
            </w:tcBorders>
          </w:tcPr>
          <w:p w14:paraId="6B5229DA" w14:textId="20B013D8" w:rsidR="0078012E" w:rsidRPr="00504216" w:rsidRDefault="005834A0">
            <w:pPr>
              <w:pStyle w:val="TableParagraph"/>
              <w:spacing w:before="121"/>
              <w:ind w:right="191"/>
              <w:jc w:val="center"/>
              <w:rPr>
                <w:sz w:val="24"/>
              </w:rPr>
            </w:pPr>
            <w:r>
              <w:rPr>
                <w:sz w:val="24"/>
              </w:rPr>
              <w:t>3</w:t>
            </w:r>
          </w:p>
        </w:tc>
      </w:tr>
      <w:tr w:rsidR="0078012E" w:rsidRPr="00D505C1" w14:paraId="4B457750" w14:textId="77777777">
        <w:trPr>
          <w:trHeight w:val="510"/>
        </w:trPr>
        <w:tc>
          <w:tcPr>
            <w:tcW w:w="3909" w:type="dxa"/>
            <w:tcBorders>
              <w:left w:val="single" w:sz="4" w:space="0" w:color="000000"/>
            </w:tcBorders>
          </w:tcPr>
          <w:p w14:paraId="403EFFE1" w14:textId="77777777" w:rsidR="0078012E" w:rsidRPr="00A422AF" w:rsidRDefault="003E42C5">
            <w:pPr>
              <w:pStyle w:val="TableParagraph"/>
              <w:ind w:left="107"/>
              <w:rPr>
                <w:sz w:val="24"/>
              </w:rPr>
            </w:pPr>
            <w:r w:rsidRPr="00A422AF">
              <w:rPr>
                <w:sz w:val="24"/>
              </w:rPr>
              <w:t>Bonds</w:t>
            </w:r>
          </w:p>
        </w:tc>
        <w:tc>
          <w:tcPr>
            <w:tcW w:w="2885" w:type="dxa"/>
          </w:tcPr>
          <w:p w14:paraId="4BEB39E6" w14:textId="0413A2C8" w:rsidR="0078012E" w:rsidRPr="00504216" w:rsidRDefault="005834A0">
            <w:pPr>
              <w:pStyle w:val="TableParagraph"/>
              <w:ind w:left="504"/>
              <w:jc w:val="center"/>
              <w:rPr>
                <w:sz w:val="24"/>
              </w:rPr>
            </w:pPr>
            <w:r>
              <w:rPr>
                <w:sz w:val="24"/>
              </w:rPr>
              <w:t>2</w:t>
            </w:r>
          </w:p>
        </w:tc>
        <w:tc>
          <w:tcPr>
            <w:tcW w:w="2768" w:type="dxa"/>
            <w:tcBorders>
              <w:right w:val="single" w:sz="4" w:space="0" w:color="000000"/>
            </w:tcBorders>
          </w:tcPr>
          <w:p w14:paraId="1A18FA42" w14:textId="77777777" w:rsidR="0078012E" w:rsidRPr="00504216" w:rsidRDefault="00CF33AF">
            <w:pPr>
              <w:pStyle w:val="TableParagraph"/>
              <w:ind w:right="191"/>
              <w:jc w:val="center"/>
              <w:rPr>
                <w:sz w:val="24"/>
              </w:rPr>
            </w:pPr>
            <w:r w:rsidRPr="00504216">
              <w:rPr>
                <w:sz w:val="24"/>
              </w:rPr>
              <w:t>1</w:t>
            </w:r>
          </w:p>
        </w:tc>
      </w:tr>
      <w:tr w:rsidR="0078012E" w:rsidRPr="00D505C1" w14:paraId="1428B5AB" w14:textId="77777777">
        <w:trPr>
          <w:trHeight w:val="510"/>
        </w:trPr>
        <w:tc>
          <w:tcPr>
            <w:tcW w:w="3909" w:type="dxa"/>
            <w:tcBorders>
              <w:left w:val="single" w:sz="4" w:space="0" w:color="000000"/>
            </w:tcBorders>
          </w:tcPr>
          <w:p w14:paraId="42FF20E3" w14:textId="77777777" w:rsidR="0078012E" w:rsidRPr="00A422AF" w:rsidRDefault="003E42C5">
            <w:pPr>
              <w:pStyle w:val="TableParagraph"/>
              <w:spacing w:before="120"/>
              <w:ind w:left="107"/>
              <w:rPr>
                <w:sz w:val="24"/>
              </w:rPr>
            </w:pPr>
            <w:r w:rsidRPr="00A422AF">
              <w:rPr>
                <w:sz w:val="24"/>
              </w:rPr>
              <w:t>Mortgages</w:t>
            </w:r>
          </w:p>
        </w:tc>
        <w:tc>
          <w:tcPr>
            <w:tcW w:w="2885" w:type="dxa"/>
          </w:tcPr>
          <w:p w14:paraId="509D82B9" w14:textId="6199DB71" w:rsidR="0078012E" w:rsidRPr="00504216" w:rsidRDefault="005834A0">
            <w:pPr>
              <w:pStyle w:val="TableParagraph"/>
              <w:spacing w:before="120"/>
              <w:ind w:left="504"/>
              <w:jc w:val="center"/>
              <w:rPr>
                <w:sz w:val="24"/>
              </w:rPr>
            </w:pPr>
            <w:r>
              <w:rPr>
                <w:sz w:val="24"/>
              </w:rPr>
              <w:t>3</w:t>
            </w:r>
          </w:p>
        </w:tc>
        <w:tc>
          <w:tcPr>
            <w:tcW w:w="2768" w:type="dxa"/>
            <w:tcBorders>
              <w:right w:val="single" w:sz="4" w:space="0" w:color="000000"/>
            </w:tcBorders>
          </w:tcPr>
          <w:p w14:paraId="45ACE061" w14:textId="7F99B575" w:rsidR="0078012E" w:rsidRPr="00504216" w:rsidRDefault="005834A0">
            <w:pPr>
              <w:pStyle w:val="TableParagraph"/>
              <w:spacing w:before="120"/>
              <w:ind w:right="191"/>
              <w:jc w:val="center"/>
              <w:rPr>
                <w:sz w:val="24"/>
              </w:rPr>
            </w:pPr>
            <w:r>
              <w:rPr>
                <w:sz w:val="24"/>
              </w:rPr>
              <w:t>3</w:t>
            </w:r>
          </w:p>
        </w:tc>
      </w:tr>
      <w:tr w:rsidR="0078012E" w:rsidRPr="00D505C1" w14:paraId="2627C6B8" w14:textId="77777777">
        <w:trPr>
          <w:trHeight w:val="511"/>
        </w:trPr>
        <w:tc>
          <w:tcPr>
            <w:tcW w:w="3909" w:type="dxa"/>
            <w:tcBorders>
              <w:left w:val="single" w:sz="4" w:space="0" w:color="000000"/>
            </w:tcBorders>
          </w:tcPr>
          <w:p w14:paraId="78CE1F15" w14:textId="77777777" w:rsidR="0078012E" w:rsidRPr="00A422AF" w:rsidRDefault="003E42C5">
            <w:pPr>
              <w:pStyle w:val="TableParagraph"/>
              <w:ind w:left="107"/>
              <w:rPr>
                <w:sz w:val="24"/>
              </w:rPr>
            </w:pPr>
            <w:r w:rsidRPr="00A422AF">
              <w:rPr>
                <w:sz w:val="24"/>
              </w:rPr>
              <w:t>Real Estate</w:t>
            </w:r>
          </w:p>
        </w:tc>
        <w:tc>
          <w:tcPr>
            <w:tcW w:w="2885" w:type="dxa"/>
          </w:tcPr>
          <w:p w14:paraId="168B7127" w14:textId="340447D0" w:rsidR="0078012E" w:rsidRPr="00504216" w:rsidRDefault="005834A0">
            <w:pPr>
              <w:pStyle w:val="TableParagraph"/>
              <w:ind w:left="504"/>
              <w:jc w:val="center"/>
              <w:rPr>
                <w:sz w:val="24"/>
              </w:rPr>
            </w:pPr>
            <w:r>
              <w:rPr>
                <w:sz w:val="24"/>
              </w:rPr>
              <w:t>1</w:t>
            </w:r>
          </w:p>
        </w:tc>
        <w:tc>
          <w:tcPr>
            <w:tcW w:w="2768" w:type="dxa"/>
            <w:tcBorders>
              <w:right w:val="single" w:sz="4" w:space="0" w:color="000000"/>
            </w:tcBorders>
          </w:tcPr>
          <w:p w14:paraId="7E8096D8" w14:textId="7AC17B0B" w:rsidR="0078012E" w:rsidRPr="00504216" w:rsidRDefault="005834A0">
            <w:pPr>
              <w:pStyle w:val="TableParagraph"/>
              <w:ind w:right="191"/>
              <w:jc w:val="center"/>
              <w:rPr>
                <w:sz w:val="24"/>
              </w:rPr>
            </w:pPr>
            <w:r>
              <w:rPr>
                <w:sz w:val="24"/>
              </w:rPr>
              <w:t>3</w:t>
            </w:r>
          </w:p>
        </w:tc>
      </w:tr>
      <w:tr w:rsidR="009A7870" w:rsidRPr="00D505C1" w14:paraId="4CAACC69" w14:textId="77777777">
        <w:trPr>
          <w:trHeight w:val="511"/>
        </w:trPr>
        <w:tc>
          <w:tcPr>
            <w:tcW w:w="3909" w:type="dxa"/>
            <w:tcBorders>
              <w:left w:val="single" w:sz="4" w:space="0" w:color="000000"/>
            </w:tcBorders>
          </w:tcPr>
          <w:p w14:paraId="5EFF4A32" w14:textId="77777777" w:rsidR="009A7870" w:rsidRPr="00A422AF" w:rsidRDefault="009A7870">
            <w:pPr>
              <w:pStyle w:val="TableParagraph"/>
              <w:ind w:left="107"/>
              <w:rPr>
                <w:sz w:val="24"/>
              </w:rPr>
            </w:pPr>
            <w:r>
              <w:rPr>
                <w:sz w:val="24"/>
              </w:rPr>
              <w:t>Infrastructure</w:t>
            </w:r>
          </w:p>
        </w:tc>
        <w:tc>
          <w:tcPr>
            <w:tcW w:w="2885" w:type="dxa"/>
          </w:tcPr>
          <w:p w14:paraId="02CE59B4" w14:textId="77777777" w:rsidR="009A7870" w:rsidRPr="00504216" w:rsidRDefault="009A7870">
            <w:pPr>
              <w:pStyle w:val="TableParagraph"/>
              <w:ind w:left="504"/>
              <w:jc w:val="center"/>
              <w:rPr>
                <w:sz w:val="24"/>
              </w:rPr>
            </w:pPr>
            <w:r>
              <w:rPr>
                <w:sz w:val="24"/>
              </w:rPr>
              <w:t>n/a</w:t>
            </w:r>
          </w:p>
        </w:tc>
        <w:tc>
          <w:tcPr>
            <w:tcW w:w="2768" w:type="dxa"/>
            <w:tcBorders>
              <w:right w:val="single" w:sz="4" w:space="0" w:color="000000"/>
            </w:tcBorders>
          </w:tcPr>
          <w:p w14:paraId="4153F355" w14:textId="77777777" w:rsidR="009A7870" w:rsidRPr="00504216" w:rsidRDefault="009A7870">
            <w:pPr>
              <w:pStyle w:val="TableParagraph"/>
              <w:ind w:right="191"/>
              <w:jc w:val="center"/>
              <w:rPr>
                <w:sz w:val="24"/>
              </w:rPr>
            </w:pPr>
            <w:r>
              <w:rPr>
                <w:sz w:val="24"/>
              </w:rPr>
              <w:t>n/a</w:t>
            </w:r>
          </w:p>
        </w:tc>
      </w:tr>
      <w:tr w:rsidR="0078012E" w:rsidRPr="00D505C1" w14:paraId="436A31EE" w14:textId="77777777">
        <w:trPr>
          <w:trHeight w:val="508"/>
        </w:trPr>
        <w:tc>
          <w:tcPr>
            <w:tcW w:w="3909" w:type="dxa"/>
            <w:tcBorders>
              <w:left w:val="single" w:sz="4" w:space="0" w:color="000000"/>
              <w:bottom w:val="single" w:sz="4" w:space="0" w:color="000000"/>
            </w:tcBorders>
            <w:shd w:val="clear" w:color="auto" w:fill="FFC000"/>
          </w:tcPr>
          <w:p w14:paraId="4F70C264" w14:textId="77777777" w:rsidR="0078012E" w:rsidRPr="00A422AF" w:rsidRDefault="003E42C5">
            <w:pPr>
              <w:pStyle w:val="TableParagraph"/>
              <w:ind w:left="107"/>
              <w:rPr>
                <w:sz w:val="24"/>
              </w:rPr>
            </w:pPr>
            <w:r w:rsidRPr="00A422AF">
              <w:rPr>
                <w:sz w:val="24"/>
              </w:rPr>
              <w:t>Total Fund</w:t>
            </w:r>
          </w:p>
        </w:tc>
        <w:tc>
          <w:tcPr>
            <w:tcW w:w="2885" w:type="dxa"/>
            <w:tcBorders>
              <w:bottom w:val="single" w:sz="4" w:space="0" w:color="000000"/>
            </w:tcBorders>
            <w:shd w:val="clear" w:color="auto" w:fill="FFC000"/>
          </w:tcPr>
          <w:p w14:paraId="33DE65E6" w14:textId="1C41A600" w:rsidR="0078012E" w:rsidRPr="00A422AF" w:rsidRDefault="005834A0">
            <w:pPr>
              <w:pStyle w:val="TableParagraph"/>
              <w:ind w:left="504"/>
              <w:jc w:val="center"/>
              <w:rPr>
                <w:sz w:val="24"/>
              </w:rPr>
            </w:pPr>
            <w:r>
              <w:rPr>
                <w:sz w:val="24"/>
              </w:rPr>
              <w:t>3</w:t>
            </w:r>
          </w:p>
        </w:tc>
        <w:tc>
          <w:tcPr>
            <w:tcW w:w="2768" w:type="dxa"/>
            <w:tcBorders>
              <w:bottom w:val="single" w:sz="4" w:space="0" w:color="000000"/>
              <w:right w:val="single" w:sz="4" w:space="0" w:color="000000"/>
            </w:tcBorders>
            <w:shd w:val="clear" w:color="auto" w:fill="FFC000"/>
          </w:tcPr>
          <w:p w14:paraId="75F7EDC9" w14:textId="5672486F" w:rsidR="0078012E" w:rsidRPr="00A422AF" w:rsidRDefault="005834A0">
            <w:pPr>
              <w:pStyle w:val="TableParagraph"/>
              <w:ind w:right="191"/>
              <w:jc w:val="center"/>
              <w:rPr>
                <w:sz w:val="24"/>
              </w:rPr>
            </w:pPr>
            <w:r>
              <w:rPr>
                <w:sz w:val="24"/>
              </w:rPr>
              <w:t>3</w:t>
            </w:r>
          </w:p>
        </w:tc>
      </w:tr>
      <w:tr w:rsidR="0078012E" w:rsidRPr="005072A7" w14:paraId="102BE7B0" w14:textId="77777777">
        <w:trPr>
          <w:trHeight w:val="690"/>
        </w:trPr>
        <w:tc>
          <w:tcPr>
            <w:tcW w:w="9562" w:type="dxa"/>
            <w:gridSpan w:val="3"/>
            <w:tcBorders>
              <w:top w:val="single" w:sz="4" w:space="0" w:color="000000"/>
              <w:left w:val="single" w:sz="4" w:space="0" w:color="000000"/>
              <w:bottom w:val="single" w:sz="4" w:space="0" w:color="000000"/>
              <w:right w:val="single" w:sz="4" w:space="0" w:color="000000"/>
            </w:tcBorders>
          </w:tcPr>
          <w:p w14:paraId="5C0A3F51" w14:textId="77777777" w:rsidR="0078012E" w:rsidRPr="005072A7" w:rsidRDefault="003E42C5">
            <w:pPr>
              <w:pStyle w:val="TableParagraph"/>
              <w:spacing w:before="118"/>
              <w:ind w:left="287" w:right="214" w:hanging="180"/>
              <w:rPr>
                <w:sz w:val="20"/>
              </w:rPr>
            </w:pPr>
            <w:r w:rsidRPr="005072A7">
              <w:rPr>
                <w:position w:val="5"/>
                <w:sz w:val="13"/>
              </w:rPr>
              <w:t xml:space="preserve">1 </w:t>
            </w:r>
            <w:r w:rsidRPr="005072A7">
              <w:rPr>
                <w:sz w:val="20"/>
              </w:rPr>
              <w:t>Indicates the placement of the return relative to the Aon Universe for institutional pooled funds. Quartile 1 include the top 25% of funds by return, Quartile 2 represents firms in the 26-49% range, M is the median return, and so on.</w:t>
            </w:r>
          </w:p>
        </w:tc>
      </w:tr>
    </w:tbl>
    <w:p w14:paraId="7F63F591" w14:textId="478BC3BC" w:rsidR="0078012E" w:rsidRPr="005072A7" w:rsidRDefault="00CF33AF" w:rsidP="005072A7">
      <w:pPr>
        <w:pStyle w:val="ListParagraph"/>
        <w:numPr>
          <w:ilvl w:val="0"/>
          <w:numId w:val="1"/>
        </w:numPr>
        <w:tabs>
          <w:tab w:val="left" w:pos="384"/>
        </w:tabs>
        <w:spacing w:before="121" w:line="355" w:lineRule="auto"/>
        <w:ind w:right="772"/>
        <w:rPr>
          <w:sz w:val="24"/>
        </w:rPr>
      </w:pPr>
      <w:r w:rsidRPr="005072A7">
        <w:rPr>
          <w:sz w:val="24"/>
        </w:rPr>
        <w:t>Asset class performance relative to respective universes of peer managers were mix</w:t>
      </w:r>
      <w:r w:rsidR="00756DE5" w:rsidRPr="005072A7">
        <w:rPr>
          <w:sz w:val="24"/>
        </w:rPr>
        <w:t xml:space="preserve">ed. </w:t>
      </w:r>
      <w:r w:rsidR="003E77F1" w:rsidRPr="005072A7">
        <w:rPr>
          <w:sz w:val="24"/>
        </w:rPr>
        <w:t xml:space="preserve">In Canadian equities, PH&amp;N was second quartile over both periods, while Mawer struggled versus peers, placing in the third and fourth quartile over one and four years respectively. </w:t>
      </w:r>
      <w:proofErr w:type="gramStart"/>
      <w:r w:rsidR="003E77F1" w:rsidRPr="005072A7">
        <w:rPr>
          <w:sz w:val="24"/>
        </w:rPr>
        <w:t>Similar to</w:t>
      </w:r>
      <w:proofErr w:type="gramEnd"/>
      <w:r w:rsidR="003E77F1" w:rsidRPr="005072A7">
        <w:rPr>
          <w:sz w:val="24"/>
        </w:rPr>
        <w:t xml:space="preserve"> Canadian equities, Mawer’s non-North American equity strategy struggled relative to peers, </w:t>
      </w:r>
      <w:r w:rsidR="005072A7" w:rsidRPr="005072A7">
        <w:rPr>
          <w:sz w:val="24"/>
        </w:rPr>
        <w:t xml:space="preserve">over one and four years. BlackRock manages passive US and Emerging market equities, and the peer group results indicate that active management was rewarded in the emerging markets over these periods, but not in the U.S. </w:t>
      </w:r>
      <w:r w:rsidR="00756DE5" w:rsidRPr="005072A7">
        <w:rPr>
          <w:sz w:val="24"/>
        </w:rPr>
        <w:t xml:space="preserve">Mortgages were below the peer universe median </w:t>
      </w:r>
      <w:r w:rsidR="00C11506" w:rsidRPr="005072A7">
        <w:rPr>
          <w:sz w:val="24"/>
        </w:rPr>
        <w:t>over</w:t>
      </w:r>
      <w:r w:rsidR="005072A7" w:rsidRPr="005072A7">
        <w:rPr>
          <w:sz w:val="24"/>
        </w:rPr>
        <w:t xml:space="preserve"> one and</w:t>
      </w:r>
      <w:r w:rsidR="00C11506" w:rsidRPr="005072A7">
        <w:rPr>
          <w:sz w:val="24"/>
        </w:rPr>
        <w:t xml:space="preserve"> four-years </w:t>
      </w:r>
      <w:r w:rsidR="00756DE5" w:rsidRPr="005072A7">
        <w:rPr>
          <w:sz w:val="24"/>
        </w:rPr>
        <w:t xml:space="preserve">due to the conservative style PH&amp;N employs. Real Estate </w:t>
      </w:r>
      <w:r w:rsidR="005072A7" w:rsidRPr="005072A7">
        <w:rPr>
          <w:sz w:val="24"/>
        </w:rPr>
        <w:t xml:space="preserve">results were mixed, with TD Greystone above median over both periods and Bentall below. </w:t>
      </w:r>
    </w:p>
    <w:p w14:paraId="38D0C971" w14:textId="77777777" w:rsidR="0078012E" w:rsidRPr="00ED1552" w:rsidRDefault="00756DE5">
      <w:pPr>
        <w:pStyle w:val="Heading3"/>
        <w:spacing w:before="134"/>
      </w:pPr>
      <w:r w:rsidRPr="005072A7">
        <w:t xml:space="preserve">Primary </w:t>
      </w:r>
      <w:r w:rsidR="003E42C5" w:rsidRPr="005072A7">
        <w:t>Investment Performance</w:t>
      </w:r>
      <w:r w:rsidR="003E42C5" w:rsidRPr="005072A7">
        <w:rPr>
          <w:spacing w:val="-18"/>
        </w:rPr>
        <w:t xml:space="preserve"> </w:t>
      </w:r>
      <w:r w:rsidR="003E42C5" w:rsidRPr="005072A7">
        <w:t>Objective</w:t>
      </w:r>
    </w:p>
    <w:p w14:paraId="3CCCC101" w14:textId="77777777" w:rsidR="0078012E" w:rsidRPr="00ED1552" w:rsidRDefault="0078012E">
      <w:pPr>
        <w:pStyle w:val="BodyText"/>
        <w:spacing w:before="8"/>
        <w:rPr>
          <w:b/>
          <w:sz w:val="22"/>
        </w:rPr>
      </w:pPr>
    </w:p>
    <w:p w14:paraId="16150BBF" w14:textId="7346A875" w:rsidR="0078012E" w:rsidRPr="00A40578" w:rsidRDefault="00756DE5">
      <w:pPr>
        <w:pStyle w:val="BodyText"/>
        <w:spacing w:line="360" w:lineRule="auto"/>
        <w:ind w:left="100" w:right="836"/>
        <w:rPr>
          <w:highlight w:val="yellow"/>
        </w:rPr>
      </w:pPr>
      <w:r w:rsidRPr="005834A0">
        <w:t xml:space="preserve">While investment </w:t>
      </w:r>
      <w:r w:rsidR="003E42C5" w:rsidRPr="005834A0">
        <w:t>performance objectives for the Trust &amp; Endowment Fund</w:t>
      </w:r>
      <w:r w:rsidR="00121A73" w:rsidRPr="005834A0">
        <w:t xml:space="preserve"> were lower than</w:t>
      </w:r>
      <w:r w:rsidR="00723707" w:rsidRPr="005834A0">
        <w:t xml:space="preserve"> the </w:t>
      </w:r>
      <w:r w:rsidR="003E42C5" w:rsidRPr="005834A0">
        <w:t xml:space="preserve">Total Fund </w:t>
      </w:r>
      <w:r w:rsidR="00723707" w:rsidRPr="005834A0">
        <w:t xml:space="preserve">benchmark return </w:t>
      </w:r>
      <w:r w:rsidR="003E42C5" w:rsidRPr="005834A0">
        <w:t xml:space="preserve">over rolling four-year periods </w:t>
      </w:r>
      <w:r w:rsidR="00723707" w:rsidRPr="005834A0">
        <w:t xml:space="preserve">and </w:t>
      </w:r>
      <w:r w:rsidR="005834A0" w:rsidRPr="005834A0">
        <w:t xml:space="preserve">below </w:t>
      </w:r>
      <w:r w:rsidR="00ED1552" w:rsidRPr="005834A0">
        <w:t xml:space="preserve">the </w:t>
      </w:r>
      <w:r w:rsidR="00723707" w:rsidRPr="005834A0">
        <w:t xml:space="preserve">median returns within a peer </w:t>
      </w:r>
      <w:r w:rsidR="00ED1552" w:rsidRPr="005834A0">
        <w:t>universe, the</w:t>
      </w:r>
      <w:r w:rsidR="003E42C5" w:rsidRPr="005834A0">
        <w:t xml:space="preserve"> primary long-term objective </w:t>
      </w:r>
      <w:r w:rsidR="00723707" w:rsidRPr="005834A0">
        <w:t xml:space="preserve">is </w:t>
      </w:r>
      <w:r w:rsidR="00ED1552" w:rsidRPr="005834A0">
        <w:t>to earn</w:t>
      </w:r>
      <w:r w:rsidR="00723707" w:rsidRPr="005834A0">
        <w:t xml:space="preserve"> </w:t>
      </w:r>
      <w:proofErr w:type="gramStart"/>
      <w:r w:rsidR="00723707" w:rsidRPr="005834A0">
        <w:t xml:space="preserve">in excess </w:t>
      </w:r>
      <w:r w:rsidR="00ED1552" w:rsidRPr="005834A0">
        <w:t>of</w:t>
      </w:r>
      <w:proofErr w:type="gramEnd"/>
      <w:r w:rsidR="00ED1552" w:rsidRPr="005834A0">
        <w:t xml:space="preserve"> a</w:t>
      </w:r>
      <w:r w:rsidR="003E42C5" w:rsidRPr="005834A0">
        <w:t xml:space="preserve"> 4% real rate of return over the longer</w:t>
      </w:r>
      <w:r w:rsidR="003E42C5" w:rsidRPr="005834A0">
        <w:rPr>
          <w:spacing w:val="-2"/>
        </w:rPr>
        <w:t xml:space="preserve"> </w:t>
      </w:r>
      <w:r w:rsidR="003E42C5" w:rsidRPr="005834A0">
        <w:t>term.</w:t>
      </w:r>
      <w:r w:rsidR="00723707" w:rsidRPr="005834A0">
        <w:t xml:space="preserve"> The real return is assessed as the Total Fund nominal return, net </w:t>
      </w:r>
      <w:r w:rsidR="00723707" w:rsidRPr="005834A0">
        <w:lastRenderedPageBreak/>
        <w:t xml:space="preserve">of inflation, as measured by the Canadian Consumer Price Index. </w:t>
      </w:r>
      <w:r w:rsidR="00ED1552" w:rsidRPr="005834A0">
        <w:t>The Total Fund real return</w:t>
      </w:r>
      <w:r w:rsidR="00723707" w:rsidRPr="005834A0">
        <w:t xml:space="preserve"> </w:t>
      </w:r>
      <w:r w:rsidR="00723707" w:rsidRPr="005072A7">
        <w:t xml:space="preserve">was </w:t>
      </w:r>
      <w:r w:rsidR="005834A0" w:rsidRPr="005072A7">
        <w:t>2.</w:t>
      </w:r>
      <w:r w:rsidR="005072A7" w:rsidRPr="005072A7">
        <w:t>2</w:t>
      </w:r>
      <w:r w:rsidR="00723707" w:rsidRPr="005072A7">
        <w:t xml:space="preserve">% over the past four years and </w:t>
      </w:r>
      <w:r w:rsidR="005834A0" w:rsidRPr="005072A7">
        <w:t>4.9</w:t>
      </w:r>
      <w:r w:rsidR="00723707" w:rsidRPr="005072A7">
        <w:t>% over the past ten years, on an annualized basis,</w:t>
      </w:r>
      <w:r w:rsidR="00723707" w:rsidRPr="005834A0">
        <w:t xml:space="preserve"> </w:t>
      </w:r>
      <w:r w:rsidR="00ED1552" w:rsidRPr="005834A0">
        <w:t xml:space="preserve">below </w:t>
      </w:r>
      <w:r w:rsidR="00723707" w:rsidRPr="005834A0">
        <w:t xml:space="preserve">the 4% real return objective </w:t>
      </w:r>
      <w:r w:rsidR="00ED1552" w:rsidRPr="005834A0">
        <w:t>over 4 years and substantially surpassing over 10 years</w:t>
      </w:r>
      <w:r w:rsidR="00723707" w:rsidRPr="005834A0">
        <w:t xml:space="preserve">. </w:t>
      </w:r>
    </w:p>
    <w:p w14:paraId="407063B2" w14:textId="77777777" w:rsidR="0078012E" w:rsidRPr="006720C5" w:rsidRDefault="003E42C5">
      <w:pPr>
        <w:pStyle w:val="Heading3"/>
        <w:spacing w:before="121"/>
      </w:pPr>
      <w:r w:rsidRPr="006720C5">
        <w:t>Benchmark Portfolio Return and Asset Mix</w:t>
      </w:r>
    </w:p>
    <w:p w14:paraId="32AD7E2E" w14:textId="77777777" w:rsidR="0078012E" w:rsidRPr="006720C5" w:rsidRDefault="0078012E">
      <w:pPr>
        <w:pStyle w:val="BodyText"/>
        <w:spacing w:before="9"/>
        <w:rPr>
          <w:b/>
          <w:sz w:val="22"/>
        </w:rPr>
      </w:pPr>
    </w:p>
    <w:p w14:paraId="44CE6E5F" w14:textId="77777777" w:rsidR="0078012E" w:rsidRPr="005834A0" w:rsidRDefault="003E42C5">
      <w:pPr>
        <w:pStyle w:val="ListParagraph"/>
        <w:numPr>
          <w:ilvl w:val="0"/>
          <w:numId w:val="1"/>
        </w:numPr>
        <w:tabs>
          <w:tab w:val="left" w:pos="384"/>
        </w:tabs>
        <w:spacing w:line="345" w:lineRule="auto"/>
        <w:ind w:right="1044"/>
        <w:rPr>
          <w:sz w:val="24"/>
        </w:rPr>
      </w:pPr>
      <w:r w:rsidRPr="005834A0">
        <w:rPr>
          <w:sz w:val="24"/>
        </w:rPr>
        <w:t xml:space="preserve">The benchmark portfolio return is calculated by using index returns and target asset class weights. The current policy asset mix is shown below. Within the </w:t>
      </w:r>
      <w:proofErr w:type="gramStart"/>
      <w:r w:rsidRPr="005834A0">
        <w:rPr>
          <w:sz w:val="24"/>
        </w:rPr>
        <w:t>various</w:t>
      </w:r>
      <w:r w:rsidRPr="005834A0">
        <w:rPr>
          <w:spacing w:val="-44"/>
          <w:sz w:val="24"/>
        </w:rPr>
        <w:t xml:space="preserve"> </w:t>
      </w:r>
      <w:r w:rsidR="00723707" w:rsidRPr="005834A0">
        <w:rPr>
          <w:spacing w:val="-44"/>
          <w:sz w:val="24"/>
        </w:rPr>
        <w:t xml:space="preserve"> </w:t>
      </w:r>
      <w:r w:rsidRPr="005834A0">
        <w:rPr>
          <w:sz w:val="24"/>
        </w:rPr>
        <w:t>asset</w:t>
      </w:r>
      <w:proofErr w:type="gramEnd"/>
      <w:r w:rsidRPr="005834A0">
        <w:rPr>
          <w:sz w:val="24"/>
        </w:rPr>
        <w:t xml:space="preserve"> classes, the</w:t>
      </w:r>
    </w:p>
    <w:p w14:paraId="3E6D0D2D" w14:textId="5CC79545" w:rsidR="000737E8" w:rsidRPr="005834A0" w:rsidRDefault="003E42C5" w:rsidP="000737E8">
      <w:pPr>
        <w:pStyle w:val="BodyText"/>
        <w:spacing w:before="79" w:line="360" w:lineRule="auto"/>
        <w:ind w:left="383" w:right="874"/>
        <w:jc w:val="both"/>
      </w:pPr>
      <w:r w:rsidRPr="005834A0">
        <w:t>objective is to exceed the relevant index return for actively managed mandates, and to track within 0.10%</w:t>
      </w:r>
      <w:r w:rsidR="005834A0" w:rsidRPr="005834A0">
        <w:t xml:space="preserve"> (U.S. Equity) and 0.35% (EM Equity)</w:t>
      </w:r>
      <w:r w:rsidRPr="005834A0">
        <w:t xml:space="preserve"> of the relevant index for passively managed mandates. In addition, the returns are evaluated on a relative basis to a universe of other </w:t>
      </w:r>
      <w:r w:rsidR="00C64C4A" w:rsidRPr="005834A0">
        <w:t>investment manager</w:t>
      </w:r>
      <w:r w:rsidRPr="005834A0">
        <w:t xml:space="preserve"> returns.</w:t>
      </w:r>
    </w:p>
    <w:p w14:paraId="789F48F1" w14:textId="1F155EB6" w:rsidR="000737E8" w:rsidRPr="005834A0" w:rsidRDefault="000737E8" w:rsidP="000737E8">
      <w:pPr>
        <w:pStyle w:val="ListParagraph"/>
        <w:numPr>
          <w:ilvl w:val="0"/>
          <w:numId w:val="1"/>
        </w:numPr>
        <w:tabs>
          <w:tab w:val="left" w:pos="384"/>
        </w:tabs>
        <w:spacing w:line="345" w:lineRule="auto"/>
        <w:ind w:right="1044"/>
        <w:rPr>
          <w:sz w:val="24"/>
        </w:rPr>
      </w:pPr>
      <w:r w:rsidRPr="000A6A4C">
        <w:rPr>
          <w:sz w:val="24"/>
        </w:rPr>
        <w:t xml:space="preserve">A new benchmark </w:t>
      </w:r>
      <w:r w:rsidR="00E47F74" w:rsidRPr="000A6A4C">
        <w:rPr>
          <w:sz w:val="24"/>
        </w:rPr>
        <w:t xml:space="preserve">was selected and implemented in </w:t>
      </w:r>
      <w:r w:rsidRPr="000A6A4C">
        <w:rPr>
          <w:sz w:val="24"/>
        </w:rPr>
        <w:t>202</w:t>
      </w:r>
      <w:r w:rsidR="005834A0" w:rsidRPr="000A6A4C">
        <w:rPr>
          <w:sz w:val="24"/>
        </w:rPr>
        <w:t>3</w:t>
      </w:r>
      <w:r w:rsidR="00E47F74" w:rsidRPr="000A6A4C">
        <w:rPr>
          <w:sz w:val="24"/>
        </w:rPr>
        <w:t>, removing Global</w:t>
      </w:r>
      <w:r w:rsidR="00E47F74">
        <w:rPr>
          <w:sz w:val="24"/>
        </w:rPr>
        <w:t xml:space="preserve"> equites and </w:t>
      </w:r>
      <w:r w:rsidR="000A6A4C">
        <w:rPr>
          <w:sz w:val="24"/>
        </w:rPr>
        <w:t>splitting the allocation between U.S. and Non-North American equities.</w:t>
      </w:r>
    </w:p>
    <w:p w14:paraId="11BE3E57" w14:textId="77777777" w:rsidR="0078012E" w:rsidRPr="00C11506" w:rsidRDefault="0078012E">
      <w:pPr>
        <w:pStyle w:val="BodyText"/>
        <w:spacing w:before="8"/>
        <w:rPr>
          <w:sz w:val="10"/>
        </w:rPr>
      </w:pPr>
    </w:p>
    <w:tbl>
      <w:tblPr>
        <w:tblW w:w="8505" w:type="dxa"/>
        <w:tblInd w:w="-5" w:type="dxa"/>
        <w:tblLayout w:type="fixed"/>
        <w:tblCellMar>
          <w:left w:w="0" w:type="dxa"/>
          <w:right w:w="0" w:type="dxa"/>
        </w:tblCellMar>
        <w:tblLook w:val="01E0" w:firstRow="1" w:lastRow="1" w:firstColumn="1" w:lastColumn="1" w:noHBand="0" w:noVBand="0"/>
      </w:tblPr>
      <w:tblGrid>
        <w:gridCol w:w="2743"/>
        <w:gridCol w:w="2881"/>
        <w:gridCol w:w="2881"/>
      </w:tblGrid>
      <w:tr w:rsidR="000737E8" w:rsidRPr="00C11506" w14:paraId="4B289EBC" w14:textId="77777777" w:rsidTr="000737E8">
        <w:trPr>
          <w:trHeight w:val="834"/>
        </w:trPr>
        <w:tc>
          <w:tcPr>
            <w:tcW w:w="2743" w:type="dxa"/>
            <w:tcBorders>
              <w:top w:val="single" w:sz="4" w:space="0" w:color="000000"/>
              <w:left w:val="single" w:sz="4" w:space="0" w:color="000000"/>
              <w:bottom w:val="single" w:sz="4" w:space="0" w:color="000000"/>
            </w:tcBorders>
          </w:tcPr>
          <w:p w14:paraId="4A6A3B97" w14:textId="77777777" w:rsidR="000737E8" w:rsidRPr="00C11506" w:rsidRDefault="000737E8" w:rsidP="000737E8">
            <w:pPr>
              <w:pStyle w:val="TableParagraph"/>
              <w:ind w:left="107"/>
              <w:rPr>
                <w:b/>
                <w:sz w:val="24"/>
              </w:rPr>
            </w:pPr>
            <w:r w:rsidRPr="00C11506">
              <w:rPr>
                <w:b/>
                <w:sz w:val="24"/>
              </w:rPr>
              <w:t>Asset Class</w:t>
            </w:r>
          </w:p>
        </w:tc>
        <w:tc>
          <w:tcPr>
            <w:tcW w:w="2881" w:type="dxa"/>
            <w:tcBorders>
              <w:top w:val="single" w:sz="4" w:space="0" w:color="000000"/>
              <w:bottom w:val="single" w:sz="4" w:space="0" w:color="000000"/>
            </w:tcBorders>
          </w:tcPr>
          <w:p w14:paraId="687CDB3B" w14:textId="61A21DB5" w:rsidR="000737E8" w:rsidRPr="00C11506" w:rsidRDefault="000737E8" w:rsidP="000737E8">
            <w:pPr>
              <w:pStyle w:val="TableParagraph"/>
              <w:spacing w:line="264" w:lineRule="auto"/>
              <w:jc w:val="center"/>
              <w:rPr>
                <w:b/>
                <w:sz w:val="24"/>
              </w:rPr>
            </w:pPr>
            <w:r w:rsidRPr="00C11506">
              <w:rPr>
                <w:b/>
                <w:sz w:val="24"/>
              </w:rPr>
              <w:t>202</w:t>
            </w:r>
            <w:r w:rsidR="005834A0">
              <w:rPr>
                <w:b/>
                <w:sz w:val="24"/>
              </w:rPr>
              <w:t>2</w:t>
            </w:r>
            <w:r w:rsidRPr="00C11506">
              <w:rPr>
                <w:b/>
                <w:sz w:val="24"/>
              </w:rPr>
              <w:t xml:space="preserve"> Benchmark Portfolio (Market Value %)</w:t>
            </w:r>
          </w:p>
        </w:tc>
        <w:tc>
          <w:tcPr>
            <w:tcW w:w="2881" w:type="dxa"/>
            <w:tcBorders>
              <w:top w:val="single" w:sz="4" w:space="0" w:color="000000"/>
              <w:bottom w:val="single" w:sz="4" w:space="0" w:color="000000"/>
              <w:right w:val="single" w:sz="4" w:space="0" w:color="000000"/>
            </w:tcBorders>
          </w:tcPr>
          <w:p w14:paraId="18F35C4C" w14:textId="22E87A46" w:rsidR="000737E8" w:rsidRPr="00C11506" w:rsidRDefault="000737E8" w:rsidP="000737E8">
            <w:pPr>
              <w:pStyle w:val="TableParagraph"/>
              <w:spacing w:line="264" w:lineRule="auto"/>
              <w:ind w:right="-6"/>
              <w:jc w:val="center"/>
              <w:rPr>
                <w:b/>
                <w:sz w:val="24"/>
              </w:rPr>
            </w:pPr>
            <w:r w:rsidRPr="00C11506">
              <w:rPr>
                <w:b/>
                <w:sz w:val="24"/>
              </w:rPr>
              <w:t>202</w:t>
            </w:r>
            <w:r w:rsidR="005834A0">
              <w:rPr>
                <w:b/>
                <w:sz w:val="24"/>
              </w:rPr>
              <w:t>3</w:t>
            </w:r>
            <w:r w:rsidRPr="00C11506">
              <w:rPr>
                <w:b/>
                <w:sz w:val="24"/>
              </w:rPr>
              <w:t xml:space="preserve"> Benchmark Portfolio (Market Value %)</w:t>
            </w:r>
          </w:p>
        </w:tc>
      </w:tr>
      <w:tr w:rsidR="005834A0" w:rsidRPr="00C11506" w14:paraId="54C15CA2" w14:textId="77777777" w:rsidTr="000737E8">
        <w:trPr>
          <w:trHeight w:val="447"/>
        </w:trPr>
        <w:tc>
          <w:tcPr>
            <w:tcW w:w="2743" w:type="dxa"/>
            <w:tcBorders>
              <w:top w:val="single" w:sz="4" w:space="0" w:color="000000"/>
              <w:left w:val="single" w:sz="4" w:space="0" w:color="000000"/>
            </w:tcBorders>
          </w:tcPr>
          <w:p w14:paraId="705E64F1" w14:textId="77777777" w:rsidR="005834A0" w:rsidRPr="00C11506" w:rsidRDefault="005834A0" w:rsidP="005834A0">
            <w:pPr>
              <w:pStyle w:val="TableParagraph"/>
              <w:ind w:left="107"/>
              <w:rPr>
                <w:sz w:val="24"/>
              </w:rPr>
            </w:pPr>
            <w:r w:rsidRPr="00C11506">
              <w:rPr>
                <w:sz w:val="24"/>
              </w:rPr>
              <w:t>Canadian equities</w:t>
            </w:r>
          </w:p>
        </w:tc>
        <w:tc>
          <w:tcPr>
            <w:tcW w:w="2881" w:type="dxa"/>
            <w:tcBorders>
              <w:top w:val="single" w:sz="4" w:space="0" w:color="000000"/>
            </w:tcBorders>
          </w:tcPr>
          <w:p w14:paraId="705358CD" w14:textId="1D646996" w:rsidR="005834A0" w:rsidRPr="00C11506" w:rsidRDefault="005834A0" w:rsidP="005834A0">
            <w:pPr>
              <w:pStyle w:val="TableParagraph"/>
              <w:tabs>
                <w:tab w:val="decimal" w:pos="1356"/>
              </w:tabs>
              <w:rPr>
                <w:sz w:val="24"/>
              </w:rPr>
            </w:pPr>
            <w:r>
              <w:rPr>
                <w:sz w:val="24"/>
              </w:rPr>
              <w:t>16</w:t>
            </w:r>
            <w:r w:rsidRPr="00C11506">
              <w:rPr>
                <w:sz w:val="24"/>
              </w:rPr>
              <w:t>%</w:t>
            </w:r>
          </w:p>
        </w:tc>
        <w:tc>
          <w:tcPr>
            <w:tcW w:w="2881" w:type="dxa"/>
            <w:tcBorders>
              <w:top w:val="single" w:sz="4" w:space="0" w:color="000000"/>
              <w:right w:val="single" w:sz="4" w:space="0" w:color="000000"/>
            </w:tcBorders>
          </w:tcPr>
          <w:p w14:paraId="48829600" w14:textId="77777777" w:rsidR="005834A0" w:rsidRPr="00C11506" w:rsidRDefault="005834A0" w:rsidP="005834A0">
            <w:pPr>
              <w:pStyle w:val="TableParagraph"/>
              <w:tabs>
                <w:tab w:val="decimal" w:pos="1356"/>
              </w:tabs>
              <w:rPr>
                <w:sz w:val="24"/>
              </w:rPr>
            </w:pPr>
            <w:r>
              <w:rPr>
                <w:sz w:val="24"/>
              </w:rPr>
              <w:t>16</w:t>
            </w:r>
            <w:r w:rsidRPr="00C11506">
              <w:rPr>
                <w:sz w:val="24"/>
              </w:rPr>
              <w:t>%</w:t>
            </w:r>
          </w:p>
        </w:tc>
      </w:tr>
      <w:tr w:rsidR="005834A0" w:rsidRPr="00C11506" w14:paraId="531A5DD7" w14:textId="77777777" w:rsidTr="000737E8">
        <w:trPr>
          <w:trHeight w:val="392"/>
        </w:trPr>
        <w:tc>
          <w:tcPr>
            <w:tcW w:w="2743" w:type="dxa"/>
            <w:tcBorders>
              <w:left w:val="single" w:sz="4" w:space="0" w:color="000000"/>
            </w:tcBorders>
          </w:tcPr>
          <w:p w14:paraId="190B9C81" w14:textId="77777777" w:rsidR="005834A0" w:rsidRPr="00C11506" w:rsidRDefault="005834A0" w:rsidP="005834A0">
            <w:pPr>
              <w:pStyle w:val="TableParagraph"/>
              <w:spacing w:before="58"/>
              <w:ind w:left="107"/>
              <w:rPr>
                <w:sz w:val="24"/>
              </w:rPr>
            </w:pPr>
            <w:r w:rsidRPr="00C11506">
              <w:rPr>
                <w:sz w:val="24"/>
              </w:rPr>
              <w:t>U.S. equities</w:t>
            </w:r>
          </w:p>
        </w:tc>
        <w:tc>
          <w:tcPr>
            <w:tcW w:w="2881" w:type="dxa"/>
          </w:tcPr>
          <w:p w14:paraId="6D7FB8AF" w14:textId="3C86FFD1" w:rsidR="005834A0" w:rsidRPr="00C11506" w:rsidRDefault="005834A0" w:rsidP="005834A0">
            <w:pPr>
              <w:pStyle w:val="TableParagraph"/>
              <w:tabs>
                <w:tab w:val="decimal" w:pos="1356"/>
              </w:tabs>
              <w:spacing w:before="58"/>
              <w:rPr>
                <w:sz w:val="24"/>
              </w:rPr>
            </w:pPr>
            <w:r w:rsidRPr="00C11506">
              <w:rPr>
                <w:sz w:val="24"/>
              </w:rPr>
              <w:t>11%</w:t>
            </w:r>
          </w:p>
        </w:tc>
        <w:tc>
          <w:tcPr>
            <w:tcW w:w="2881" w:type="dxa"/>
            <w:tcBorders>
              <w:right w:val="single" w:sz="4" w:space="0" w:color="000000"/>
            </w:tcBorders>
          </w:tcPr>
          <w:p w14:paraId="57DCF7C6" w14:textId="79C2317C" w:rsidR="005834A0" w:rsidRPr="00C11506" w:rsidRDefault="005834A0" w:rsidP="005834A0">
            <w:pPr>
              <w:pStyle w:val="TableParagraph"/>
              <w:tabs>
                <w:tab w:val="decimal" w:pos="1356"/>
              </w:tabs>
              <w:spacing w:before="58"/>
              <w:rPr>
                <w:sz w:val="24"/>
              </w:rPr>
            </w:pPr>
            <w:r w:rsidRPr="00C11506">
              <w:rPr>
                <w:sz w:val="24"/>
              </w:rPr>
              <w:t>1</w:t>
            </w:r>
            <w:r>
              <w:rPr>
                <w:sz w:val="24"/>
              </w:rPr>
              <w:t>9</w:t>
            </w:r>
            <w:r w:rsidRPr="00C11506">
              <w:rPr>
                <w:sz w:val="24"/>
              </w:rPr>
              <w:t>%</w:t>
            </w:r>
          </w:p>
        </w:tc>
      </w:tr>
      <w:tr w:rsidR="005834A0" w:rsidRPr="00C11506" w14:paraId="07B8DDB4" w14:textId="77777777" w:rsidTr="000737E8">
        <w:trPr>
          <w:trHeight w:val="397"/>
        </w:trPr>
        <w:tc>
          <w:tcPr>
            <w:tcW w:w="2743" w:type="dxa"/>
            <w:tcBorders>
              <w:left w:val="single" w:sz="4" w:space="0" w:color="000000"/>
            </w:tcBorders>
          </w:tcPr>
          <w:p w14:paraId="358EE510" w14:textId="77777777" w:rsidR="005834A0" w:rsidRPr="00C11506" w:rsidRDefault="005834A0" w:rsidP="005834A0">
            <w:pPr>
              <w:pStyle w:val="TableParagraph"/>
              <w:spacing w:before="64"/>
              <w:ind w:left="107"/>
              <w:rPr>
                <w:sz w:val="24"/>
              </w:rPr>
            </w:pPr>
            <w:r w:rsidRPr="00C11506">
              <w:rPr>
                <w:sz w:val="24"/>
              </w:rPr>
              <w:t>Non-North American</w:t>
            </w:r>
          </w:p>
        </w:tc>
        <w:tc>
          <w:tcPr>
            <w:tcW w:w="2881" w:type="dxa"/>
          </w:tcPr>
          <w:p w14:paraId="45F65620" w14:textId="7A1E03C5" w:rsidR="005834A0" w:rsidRPr="00C11506" w:rsidRDefault="005834A0" w:rsidP="005834A0">
            <w:pPr>
              <w:pStyle w:val="TableParagraph"/>
              <w:tabs>
                <w:tab w:val="decimal" w:pos="1356"/>
              </w:tabs>
              <w:spacing w:before="64"/>
              <w:rPr>
                <w:sz w:val="24"/>
              </w:rPr>
            </w:pPr>
            <w:r w:rsidRPr="00C11506">
              <w:rPr>
                <w:sz w:val="24"/>
              </w:rPr>
              <w:t>11%</w:t>
            </w:r>
          </w:p>
        </w:tc>
        <w:tc>
          <w:tcPr>
            <w:tcW w:w="2881" w:type="dxa"/>
            <w:tcBorders>
              <w:right w:val="single" w:sz="4" w:space="0" w:color="000000"/>
            </w:tcBorders>
          </w:tcPr>
          <w:p w14:paraId="1652F620" w14:textId="2CEB5C12" w:rsidR="005834A0" w:rsidRPr="00C11506" w:rsidRDefault="005834A0" w:rsidP="005834A0">
            <w:pPr>
              <w:pStyle w:val="TableParagraph"/>
              <w:tabs>
                <w:tab w:val="decimal" w:pos="1356"/>
              </w:tabs>
              <w:spacing w:before="64"/>
              <w:rPr>
                <w:sz w:val="24"/>
              </w:rPr>
            </w:pPr>
            <w:r w:rsidRPr="00C11506">
              <w:rPr>
                <w:sz w:val="24"/>
              </w:rPr>
              <w:t>1</w:t>
            </w:r>
            <w:r>
              <w:rPr>
                <w:sz w:val="24"/>
              </w:rPr>
              <w:t>9</w:t>
            </w:r>
            <w:r w:rsidRPr="00C11506">
              <w:rPr>
                <w:sz w:val="24"/>
              </w:rPr>
              <w:t>%</w:t>
            </w:r>
          </w:p>
        </w:tc>
      </w:tr>
      <w:tr w:rsidR="005834A0" w:rsidRPr="00C11506" w14:paraId="247D01E1" w14:textId="77777777" w:rsidTr="000737E8">
        <w:trPr>
          <w:trHeight w:val="397"/>
        </w:trPr>
        <w:tc>
          <w:tcPr>
            <w:tcW w:w="2743" w:type="dxa"/>
            <w:tcBorders>
              <w:left w:val="single" w:sz="4" w:space="0" w:color="000000"/>
            </w:tcBorders>
          </w:tcPr>
          <w:p w14:paraId="5A1DFF15" w14:textId="77777777" w:rsidR="005834A0" w:rsidRPr="00C11506" w:rsidRDefault="005834A0" w:rsidP="005834A0">
            <w:pPr>
              <w:pStyle w:val="TableParagraph"/>
              <w:spacing w:before="63"/>
              <w:ind w:left="107"/>
              <w:rPr>
                <w:sz w:val="24"/>
              </w:rPr>
            </w:pPr>
            <w:r w:rsidRPr="00C11506">
              <w:rPr>
                <w:sz w:val="24"/>
              </w:rPr>
              <w:t>Global equities</w:t>
            </w:r>
          </w:p>
        </w:tc>
        <w:tc>
          <w:tcPr>
            <w:tcW w:w="2881" w:type="dxa"/>
          </w:tcPr>
          <w:p w14:paraId="4BCFA76A" w14:textId="0CBDEA60" w:rsidR="005834A0" w:rsidRPr="00C11506" w:rsidRDefault="005834A0" w:rsidP="005834A0">
            <w:pPr>
              <w:pStyle w:val="TableParagraph"/>
              <w:tabs>
                <w:tab w:val="decimal" w:pos="1356"/>
              </w:tabs>
              <w:spacing w:before="63"/>
              <w:rPr>
                <w:sz w:val="24"/>
              </w:rPr>
            </w:pPr>
            <w:r>
              <w:rPr>
                <w:sz w:val="24"/>
              </w:rPr>
              <w:t>16</w:t>
            </w:r>
            <w:r w:rsidRPr="00C11506">
              <w:rPr>
                <w:sz w:val="24"/>
              </w:rPr>
              <w:t>%</w:t>
            </w:r>
          </w:p>
        </w:tc>
        <w:tc>
          <w:tcPr>
            <w:tcW w:w="2881" w:type="dxa"/>
            <w:tcBorders>
              <w:right w:val="single" w:sz="4" w:space="0" w:color="000000"/>
            </w:tcBorders>
          </w:tcPr>
          <w:p w14:paraId="78565EBA" w14:textId="2170AA5C" w:rsidR="005834A0" w:rsidRPr="00C11506" w:rsidRDefault="00E47F74" w:rsidP="005834A0">
            <w:pPr>
              <w:pStyle w:val="TableParagraph"/>
              <w:tabs>
                <w:tab w:val="decimal" w:pos="1356"/>
              </w:tabs>
              <w:spacing w:before="63"/>
              <w:rPr>
                <w:sz w:val="24"/>
              </w:rPr>
            </w:pPr>
            <w:r>
              <w:rPr>
                <w:sz w:val="24"/>
              </w:rPr>
              <w:t>-</w:t>
            </w:r>
          </w:p>
        </w:tc>
      </w:tr>
      <w:tr w:rsidR="005834A0" w:rsidRPr="00C11506" w14:paraId="0E19405D" w14:textId="77777777" w:rsidTr="000737E8">
        <w:trPr>
          <w:trHeight w:val="397"/>
        </w:trPr>
        <w:tc>
          <w:tcPr>
            <w:tcW w:w="2743" w:type="dxa"/>
            <w:tcBorders>
              <w:left w:val="single" w:sz="4" w:space="0" w:color="000000"/>
            </w:tcBorders>
          </w:tcPr>
          <w:p w14:paraId="6ABDD566" w14:textId="77777777" w:rsidR="005834A0" w:rsidRPr="00C11506" w:rsidRDefault="005834A0" w:rsidP="005834A0">
            <w:pPr>
              <w:pStyle w:val="TableParagraph"/>
              <w:spacing w:before="64"/>
              <w:ind w:left="107"/>
              <w:rPr>
                <w:sz w:val="24"/>
              </w:rPr>
            </w:pPr>
            <w:r w:rsidRPr="00C11506">
              <w:rPr>
                <w:sz w:val="24"/>
              </w:rPr>
              <w:t>Emerging Market equities</w:t>
            </w:r>
          </w:p>
        </w:tc>
        <w:tc>
          <w:tcPr>
            <w:tcW w:w="2881" w:type="dxa"/>
          </w:tcPr>
          <w:p w14:paraId="0FB0A0E5" w14:textId="43DADFF9" w:rsidR="005834A0" w:rsidRPr="00C11506" w:rsidRDefault="005834A0" w:rsidP="005834A0">
            <w:pPr>
              <w:pStyle w:val="TableParagraph"/>
              <w:tabs>
                <w:tab w:val="decimal" w:pos="1356"/>
              </w:tabs>
              <w:spacing w:before="64"/>
              <w:rPr>
                <w:sz w:val="24"/>
              </w:rPr>
            </w:pPr>
            <w:r>
              <w:rPr>
                <w:sz w:val="24"/>
              </w:rPr>
              <w:t>4</w:t>
            </w:r>
            <w:r w:rsidRPr="00C11506">
              <w:rPr>
                <w:sz w:val="24"/>
              </w:rPr>
              <w:t>%</w:t>
            </w:r>
          </w:p>
        </w:tc>
        <w:tc>
          <w:tcPr>
            <w:tcW w:w="2881" w:type="dxa"/>
            <w:tcBorders>
              <w:right w:val="single" w:sz="4" w:space="0" w:color="000000"/>
            </w:tcBorders>
          </w:tcPr>
          <w:p w14:paraId="061927D1" w14:textId="77777777" w:rsidR="005834A0" w:rsidRPr="00C11506" w:rsidRDefault="005834A0" w:rsidP="005834A0">
            <w:pPr>
              <w:pStyle w:val="TableParagraph"/>
              <w:tabs>
                <w:tab w:val="decimal" w:pos="1356"/>
              </w:tabs>
              <w:spacing w:before="64"/>
              <w:rPr>
                <w:sz w:val="24"/>
              </w:rPr>
            </w:pPr>
            <w:r>
              <w:rPr>
                <w:sz w:val="24"/>
              </w:rPr>
              <w:t>4</w:t>
            </w:r>
            <w:r w:rsidRPr="00C11506">
              <w:rPr>
                <w:sz w:val="24"/>
              </w:rPr>
              <w:t>%</w:t>
            </w:r>
          </w:p>
        </w:tc>
      </w:tr>
      <w:tr w:rsidR="005834A0" w:rsidRPr="00C11506" w14:paraId="2F9FD5F4" w14:textId="77777777" w:rsidTr="000737E8">
        <w:trPr>
          <w:trHeight w:val="396"/>
        </w:trPr>
        <w:tc>
          <w:tcPr>
            <w:tcW w:w="2743" w:type="dxa"/>
            <w:tcBorders>
              <w:left w:val="single" w:sz="4" w:space="0" w:color="000000"/>
            </w:tcBorders>
          </w:tcPr>
          <w:p w14:paraId="10DDE737" w14:textId="77777777" w:rsidR="005834A0" w:rsidRPr="00C11506" w:rsidRDefault="005834A0" w:rsidP="005834A0">
            <w:pPr>
              <w:pStyle w:val="TableParagraph"/>
              <w:spacing w:before="63"/>
              <w:ind w:left="107"/>
              <w:rPr>
                <w:sz w:val="24"/>
              </w:rPr>
            </w:pPr>
            <w:r>
              <w:rPr>
                <w:sz w:val="24"/>
              </w:rPr>
              <w:t>Core Plus Bonds</w:t>
            </w:r>
          </w:p>
        </w:tc>
        <w:tc>
          <w:tcPr>
            <w:tcW w:w="2881" w:type="dxa"/>
          </w:tcPr>
          <w:p w14:paraId="2BFBF39C" w14:textId="0499D8DB" w:rsidR="005834A0" w:rsidRPr="00C11506" w:rsidRDefault="005834A0" w:rsidP="005834A0">
            <w:pPr>
              <w:pStyle w:val="TableParagraph"/>
              <w:tabs>
                <w:tab w:val="decimal" w:pos="1356"/>
              </w:tabs>
              <w:spacing w:before="63"/>
              <w:rPr>
                <w:sz w:val="24"/>
              </w:rPr>
            </w:pPr>
            <w:r>
              <w:rPr>
                <w:sz w:val="24"/>
              </w:rPr>
              <w:t>12%</w:t>
            </w:r>
          </w:p>
        </w:tc>
        <w:tc>
          <w:tcPr>
            <w:tcW w:w="2881" w:type="dxa"/>
            <w:tcBorders>
              <w:right w:val="single" w:sz="4" w:space="0" w:color="000000"/>
            </w:tcBorders>
          </w:tcPr>
          <w:p w14:paraId="7BBD7E36" w14:textId="77777777" w:rsidR="005834A0" w:rsidRPr="00C11506" w:rsidRDefault="005834A0" w:rsidP="005834A0">
            <w:pPr>
              <w:pStyle w:val="TableParagraph"/>
              <w:tabs>
                <w:tab w:val="decimal" w:pos="1356"/>
              </w:tabs>
              <w:spacing w:before="63"/>
              <w:rPr>
                <w:sz w:val="24"/>
              </w:rPr>
            </w:pPr>
            <w:r>
              <w:rPr>
                <w:sz w:val="24"/>
              </w:rPr>
              <w:t>12%</w:t>
            </w:r>
          </w:p>
        </w:tc>
      </w:tr>
      <w:tr w:rsidR="005834A0" w:rsidRPr="00C11506" w14:paraId="75F82FCD" w14:textId="77777777" w:rsidTr="000737E8">
        <w:trPr>
          <w:trHeight w:val="397"/>
        </w:trPr>
        <w:tc>
          <w:tcPr>
            <w:tcW w:w="2743" w:type="dxa"/>
            <w:tcBorders>
              <w:left w:val="single" w:sz="4" w:space="0" w:color="000000"/>
            </w:tcBorders>
          </w:tcPr>
          <w:p w14:paraId="21DFC0B1" w14:textId="77777777" w:rsidR="005834A0" w:rsidRPr="00C11506" w:rsidRDefault="005834A0" w:rsidP="005834A0">
            <w:pPr>
              <w:pStyle w:val="TableParagraph"/>
              <w:spacing w:before="63"/>
              <w:ind w:left="107"/>
              <w:rPr>
                <w:sz w:val="24"/>
              </w:rPr>
            </w:pPr>
            <w:r>
              <w:rPr>
                <w:sz w:val="24"/>
              </w:rPr>
              <w:t>Absolute Return</w:t>
            </w:r>
            <w:r w:rsidRPr="00C11506">
              <w:rPr>
                <w:sz w:val="24"/>
              </w:rPr>
              <w:t xml:space="preserve"> Bonds</w:t>
            </w:r>
          </w:p>
        </w:tc>
        <w:tc>
          <w:tcPr>
            <w:tcW w:w="2881" w:type="dxa"/>
          </w:tcPr>
          <w:p w14:paraId="1FF011FB" w14:textId="12CF3404" w:rsidR="005834A0" w:rsidRPr="00C11506" w:rsidRDefault="005834A0" w:rsidP="005834A0">
            <w:pPr>
              <w:pStyle w:val="TableParagraph"/>
              <w:tabs>
                <w:tab w:val="decimal" w:pos="1356"/>
              </w:tabs>
              <w:spacing w:before="63"/>
              <w:rPr>
                <w:sz w:val="24"/>
              </w:rPr>
            </w:pPr>
            <w:r w:rsidRPr="00C11506">
              <w:rPr>
                <w:sz w:val="24"/>
              </w:rPr>
              <w:t>5%</w:t>
            </w:r>
          </w:p>
        </w:tc>
        <w:tc>
          <w:tcPr>
            <w:tcW w:w="2881" w:type="dxa"/>
            <w:tcBorders>
              <w:right w:val="single" w:sz="4" w:space="0" w:color="000000"/>
            </w:tcBorders>
          </w:tcPr>
          <w:p w14:paraId="57EE8F31" w14:textId="77777777" w:rsidR="005834A0" w:rsidRPr="00C11506" w:rsidRDefault="005834A0" w:rsidP="005834A0">
            <w:pPr>
              <w:pStyle w:val="TableParagraph"/>
              <w:tabs>
                <w:tab w:val="decimal" w:pos="1356"/>
              </w:tabs>
              <w:spacing w:before="63"/>
              <w:rPr>
                <w:sz w:val="24"/>
              </w:rPr>
            </w:pPr>
            <w:r w:rsidRPr="00C11506">
              <w:rPr>
                <w:sz w:val="24"/>
              </w:rPr>
              <w:t>5%</w:t>
            </w:r>
          </w:p>
        </w:tc>
      </w:tr>
      <w:tr w:rsidR="005834A0" w:rsidRPr="00C11506" w14:paraId="570BF875" w14:textId="77777777" w:rsidTr="000737E8">
        <w:trPr>
          <w:trHeight w:val="397"/>
        </w:trPr>
        <w:tc>
          <w:tcPr>
            <w:tcW w:w="2743" w:type="dxa"/>
            <w:tcBorders>
              <w:left w:val="single" w:sz="4" w:space="0" w:color="000000"/>
            </w:tcBorders>
          </w:tcPr>
          <w:p w14:paraId="4D4EC5FB" w14:textId="77777777" w:rsidR="005834A0" w:rsidRPr="00C11506" w:rsidRDefault="005834A0" w:rsidP="005834A0">
            <w:pPr>
              <w:pStyle w:val="TableParagraph"/>
              <w:spacing w:before="64"/>
              <w:ind w:left="107"/>
              <w:rPr>
                <w:sz w:val="24"/>
              </w:rPr>
            </w:pPr>
            <w:r w:rsidRPr="00C11506">
              <w:rPr>
                <w:sz w:val="24"/>
              </w:rPr>
              <w:t>Mortgages</w:t>
            </w:r>
          </w:p>
        </w:tc>
        <w:tc>
          <w:tcPr>
            <w:tcW w:w="2881" w:type="dxa"/>
          </w:tcPr>
          <w:p w14:paraId="620E076C" w14:textId="75FE827D" w:rsidR="005834A0" w:rsidRPr="00C11506" w:rsidRDefault="005834A0" w:rsidP="005834A0">
            <w:pPr>
              <w:pStyle w:val="TableParagraph"/>
              <w:tabs>
                <w:tab w:val="decimal" w:pos="1356"/>
              </w:tabs>
              <w:spacing w:before="64"/>
              <w:rPr>
                <w:sz w:val="24"/>
              </w:rPr>
            </w:pPr>
            <w:r w:rsidRPr="00C11506">
              <w:rPr>
                <w:sz w:val="24"/>
              </w:rPr>
              <w:t>5%</w:t>
            </w:r>
          </w:p>
        </w:tc>
        <w:tc>
          <w:tcPr>
            <w:tcW w:w="2881" w:type="dxa"/>
            <w:tcBorders>
              <w:right w:val="single" w:sz="4" w:space="0" w:color="000000"/>
            </w:tcBorders>
          </w:tcPr>
          <w:p w14:paraId="4F3FA0E3" w14:textId="77777777" w:rsidR="005834A0" w:rsidRPr="00C11506" w:rsidRDefault="005834A0" w:rsidP="005834A0">
            <w:pPr>
              <w:pStyle w:val="TableParagraph"/>
              <w:tabs>
                <w:tab w:val="decimal" w:pos="1356"/>
              </w:tabs>
              <w:spacing w:before="64"/>
              <w:rPr>
                <w:sz w:val="24"/>
              </w:rPr>
            </w:pPr>
            <w:r w:rsidRPr="00C11506">
              <w:rPr>
                <w:sz w:val="24"/>
              </w:rPr>
              <w:t>5%</w:t>
            </w:r>
          </w:p>
        </w:tc>
      </w:tr>
      <w:tr w:rsidR="005834A0" w:rsidRPr="00C11506" w14:paraId="402EBB19" w14:textId="77777777" w:rsidTr="000737E8">
        <w:trPr>
          <w:trHeight w:val="397"/>
        </w:trPr>
        <w:tc>
          <w:tcPr>
            <w:tcW w:w="2743" w:type="dxa"/>
            <w:tcBorders>
              <w:left w:val="single" w:sz="4" w:space="0" w:color="000000"/>
            </w:tcBorders>
          </w:tcPr>
          <w:p w14:paraId="01479219" w14:textId="77777777" w:rsidR="005834A0" w:rsidRPr="00C11506" w:rsidRDefault="005834A0" w:rsidP="005834A0">
            <w:pPr>
              <w:pStyle w:val="TableParagraph"/>
              <w:spacing w:before="63"/>
              <w:ind w:left="107"/>
              <w:rPr>
                <w:sz w:val="24"/>
              </w:rPr>
            </w:pPr>
            <w:r w:rsidRPr="00C11506">
              <w:rPr>
                <w:sz w:val="24"/>
              </w:rPr>
              <w:t>Real estate</w:t>
            </w:r>
          </w:p>
        </w:tc>
        <w:tc>
          <w:tcPr>
            <w:tcW w:w="2881" w:type="dxa"/>
          </w:tcPr>
          <w:p w14:paraId="31BC8AA5" w14:textId="30C6019E" w:rsidR="005834A0" w:rsidRPr="00C11506" w:rsidRDefault="005834A0" w:rsidP="005834A0">
            <w:pPr>
              <w:pStyle w:val="TableParagraph"/>
              <w:tabs>
                <w:tab w:val="decimal" w:pos="1356"/>
              </w:tabs>
              <w:spacing w:before="63"/>
              <w:rPr>
                <w:sz w:val="24"/>
              </w:rPr>
            </w:pPr>
            <w:r>
              <w:rPr>
                <w:sz w:val="24"/>
              </w:rPr>
              <w:t>10</w:t>
            </w:r>
            <w:r w:rsidRPr="00C11506">
              <w:rPr>
                <w:sz w:val="24"/>
              </w:rPr>
              <w:t>%</w:t>
            </w:r>
          </w:p>
        </w:tc>
        <w:tc>
          <w:tcPr>
            <w:tcW w:w="2881" w:type="dxa"/>
            <w:tcBorders>
              <w:right w:val="single" w:sz="4" w:space="0" w:color="000000"/>
            </w:tcBorders>
          </w:tcPr>
          <w:p w14:paraId="291FB350" w14:textId="77777777" w:rsidR="005834A0" w:rsidRPr="00C11506" w:rsidRDefault="005834A0" w:rsidP="005834A0">
            <w:pPr>
              <w:pStyle w:val="TableParagraph"/>
              <w:tabs>
                <w:tab w:val="decimal" w:pos="1356"/>
              </w:tabs>
              <w:spacing w:before="63"/>
              <w:rPr>
                <w:sz w:val="24"/>
              </w:rPr>
            </w:pPr>
            <w:r>
              <w:rPr>
                <w:sz w:val="24"/>
              </w:rPr>
              <w:t>10</w:t>
            </w:r>
            <w:r w:rsidRPr="00C11506">
              <w:rPr>
                <w:sz w:val="24"/>
              </w:rPr>
              <w:t>%</w:t>
            </w:r>
          </w:p>
        </w:tc>
      </w:tr>
      <w:tr w:rsidR="005834A0" w:rsidRPr="00C11506" w14:paraId="7C456D71" w14:textId="77777777" w:rsidTr="000737E8">
        <w:trPr>
          <w:trHeight w:val="397"/>
        </w:trPr>
        <w:tc>
          <w:tcPr>
            <w:tcW w:w="2743" w:type="dxa"/>
            <w:tcBorders>
              <w:left w:val="single" w:sz="4" w:space="0" w:color="000000"/>
            </w:tcBorders>
          </w:tcPr>
          <w:p w14:paraId="5BCC84A9" w14:textId="77777777" w:rsidR="005834A0" w:rsidRPr="00C11506" w:rsidRDefault="005834A0" w:rsidP="005834A0">
            <w:pPr>
              <w:pStyle w:val="TableParagraph"/>
              <w:spacing w:before="63"/>
              <w:ind w:left="107"/>
              <w:rPr>
                <w:sz w:val="24"/>
              </w:rPr>
            </w:pPr>
            <w:r>
              <w:rPr>
                <w:sz w:val="24"/>
              </w:rPr>
              <w:t>Infrastructure</w:t>
            </w:r>
          </w:p>
        </w:tc>
        <w:tc>
          <w:tcPr>
            <w:tcW w:w="2881" w:type="dxa"/>
          </w:tcPr>
          <w:p w14:paraId="500A2FFE" w14:textId="18519B1C" w:rsidR="005834A0" w:rsidRPr="00C11506" w:rsidRDefault="005834A0" w:rsidP="005834A0">
            <w:pPr>
              <w:pStyle w:val="TableParagraph"/>
              <w:tabs>
                <w:tab w:val="decimal" w:pos="1356"/>
              </w:tabs>
              <w:spacing w:before="63"/>
              <w:rPr>
                <w:sz w:val="24"/>
              </w:rPr>
            </w:pPr>
            <w:r>
              <w:rPr>
                <w:sz w:val="24"/>
              </w:rPr>
              <w:t>10%</w:t>
            </w:r>
          </w:p>
        </w:tc>
        <w:tc>
          <w:tcPr>
            <w:tcW w:w="2881" w:type="dxa"/>
            <w:tcBorders>
              <w:right w:val="single" w:sz="4" w:space="0" w:color="000000"/>
            </w:tcBorders>
          </w:tcPr>
          <w:p w14:paraId="31E012FE" w14:textId="77777777" w:rsidR="005834A0" w:rsidRDefault="005834A0" w:rsidP="005834A0">
            <w:pPr>
              <w:pStyle w:val="TableParagraph"/>
              <w:tabs>
                <w:tab w:val="decimal" w:pos="1356"/>
              </w:tabs>
              <w:spacing w:before="63"/>
              <w:rPr>
                <w:sz w:val="24"/>
              </w:rPr>
            </w:pPr>
            <w:r>
              <w:rPr>
                <w:sz w:val="24"/>
              </w:rPr>
              <w:t>10%</w:t>
            </w:r>
          </w:p>
        </w:tc>
      </w:tr>
      <w:tr w:rsidR="005834A0" w:rsidRPr="00C11506" w14:paraId="713B4F6C" w14:textId="77777777" w:rsidTr="000737E8">
        <w:trPr>
          <w:trHeight w:val="484"/>
        </w:trPr>
        <w:tc>
          <w:tcPr>
            <w:tcW w:w="2743" w:type="dxa"/>
            <w:tcBorders>
              <w:left w:val="single" w:sz="4" w:space="0" w:color="000000"/>
              <w:bottom w:val="single" w:sz="4" w:space="0" w:color="000000"/>
            </w:tcBorders>
          </w:tcPr>
          <w:p w14:paraId="0E8479B8" w14:textId="77777777" w:rsidR="005834A0" w:rsidRPr="00C11506" w:rsidRDefault="005834A0" w:rsidP="005834A0">
            <w:pPr>
              <w:pStyle w:val="TableParagraph"/>
              <w:spacing w:before="64"/>
              <w:ind w:left="107"/>
              <w:rPr>
                <w:sz w:val="24"/>
              </w:rPr>
            </w:pPr>
            <w:r w:rsidRPr="00C11506">
              <w:rPr>
                <w:sz w:val="24"/>
              </w:rPr>
              <w:t>Short-term investments</w:t>
            </w:r>
          </w:p>
        </w:tc>
        <w:tc>
          <w:tcPr>
            <w:tcW w:w="2881" w:type="dxa"/>
            <w:tcBorders>
              <w:bottom w:val="single" w:sz="4" w:space="0" w:color="000000"/>
            </w:tcBorders>
          </w:tcPr>
          <w:p w14:paraId="0B3E5074" w14:textId="6E4CFB89" w:rsidR="005834A0" w:rsidRPr="00C11506" w:rsidRDefault="005834A0" w:rsidP="005834A0">
            <w:pPr>
              <w:pStyle w:val="TableParagraph"/>
              <w:tabs>
                <w:tab w:val="decimal" w:pos="1356"/>
              </w:tabs>
              <w:spacing w:before="64"/>
              <w:rPr>
                <w:sz w:val="24"/>
              </w:rPr>
            </w:pPr>
            <w:r w:rsidRPr="00C11506">
              <w:rPr>
                <w:sz w:val="24"/>
              </w:rPr>
              <w:t>0%</w:t>
            </w:r>
          </w:p>
        </w:tc>
        <w:tc>
          <w:tcPr>
            <w:tcW w:w="2881" w:type="dxa"/>
            <w:tcBorders>
              <w:bottom w:val="single" w:sz="4" w:space="0" w:color="000000"/>
              <w:right w:val="single" w:sz="4" w:space="0" w:color="000000"/>
            </w:tcBorders>
          </w:tcPr>
          <w:p w14:paraId="70A125FD" w14:textId="77777777" w:rsidR="005834A0" w:rsidRPr="00C11506" w:rsidRDefault="005834A0" w:rsidP="005834A0">
            <w:pPr>
              <w:pStyle w:val="TableParagraph"/>
              <w:tabs>
                <w:tab w:val="decimal" w:pos="1356"/>
              </w:tabs>
              <w:spacing w:before="64"/>
              <w:rPr>
                <w:sz w:val="24"/>
              </w:rPr>
            </w:pPr>
            <w:r w:rsidRPr="00C11506">
              <w:rPr>
                <w:sz w:val="24"/>
              </w:rPr>
              <w:t>0%</w:t>
            </w:r>
          </w:p>
        </w:tc>
      </w:tr>
    </w:tbl>
    <w:p w14:paraId="0B62CD76" w14:textId="77777777" w:rsidR="0078012E" w:rsidRPr="00C11506" w:rsidRDefault="0078012E">
      <w:pPr>
        <w:rPr>
          <w:sz w:val="24"/>
        </w:rPr>
        <w:sectPr w:rsidR="0078012E" w:rsidRPr="00C11506">
          <w:pgSz w:w="12240" w:h="15840"/>
          <w:pgMar w:top="1360" w:right="1120" w:bottom="1260" w:left="1340" w:header="0" w:footer="1060" w:gutter="0"/>
          <w:cols w:space="720"/>
        </w:sectPr>
      </w:pPr>
    </w:p>
    <w:p w14:paraId="6870D8A5" w14:textId="77777777" w:rsidR="0078012E" w:rsidRPr="006720C5" w:rsidRDefault="003E42C5">
      <w:pPr>
        <w:pStyle w:val="Heading1"/>
        <w:spacing w:before="76"/>
      </w:pPr>
      <w:r w:rsidRPr="006720C5">
        <w:lastRenderedPageBreak/>
        <w:t>The Trust and Endowment Fund</w:t>
      </w:r>
    </w:p>
    <w:p w14:paraId="4C34154C" w14:textId="625C1A31" w:rsidR="0078012E" w:rsidRPr="00A40578" w:rsidRDefault="003E42C5">
      <w:pPr>
        <w:pStyle w:val="BodyText"/>
        <w:spacing w:before="281" w:line="360" w:lineRule="auto"/>
        <w:ind w:left="100" w:right="749"/>
        <w:rPr>
          <w:highlight w:val="yellow"/>
        </w:rPr>
      </w:pPr>
      <w:r w:rsidRPr="00A157FF">
        <w:t xml:space="preserve">At the end of </w:t>
      </w:r>
      <w:r w:rsidR="00723707" w:rsidRPr="00A157FF">
        <w:t>202</w:t>
      </w:r>
      <w:r w:rsidR="005834A0" w:rsidRPr="00A157FF">
        <w:t>3</w:t>
      </w:r>
      <w:r w:rsidRPr="00A157FF">
        <w:t xml:space="preserve">, the Trust and Endowment </w:t>
      </w:r>
      <w:r w:rsidR="00C64C4A" w:rsidRPr="00A157FF">
        <w:t xml:space="preserve">Fund </w:t>
      </w:r>
      <w:r w:rsidRPr="00A157FF">
        <w:t>assets had a market value of $</w:t>
      </w:r>
      <w:r w:rsidR="00C11506" w:rsidRPr="00A157FF">
        <w:t>1</w:t>
      </w:r>
      <w:r w:rsidR="00A157FF" w:rsidRPr="00A157FF">
        <w:t>39</w:t>
      </w:r>
      <w:r w:rsidR="00C11506" w:rsidRPr="00A157FF">
        <w:t>.</w:t>
      </w:r>
      <w:r w:rsidR="00A157FF" w:rsidRPr="00A157FF">
        <w:t xml:space="preserve">8 </w:t>
      </w:r>
      <w:r w:rsidRPr="00A157FF">
        <w:t>million (excluding $</w:t>
      </w:r>
      <w:r w:rsidR="00C11506" w:rsidRPr="00A157FF">
        <w:t>2.</w:t>
      </w:r>
      <w:r w:rsidR="00A157FF" w:rsidRPr="00A157FF">
        <w:t>2</w:t>
      </w:r>
      <w:r w:rsidRPr="00A157FF">
        <w:t xml:space="preserve"> million of the TEF assets managed by the UR Investing program). This is </w:t>
      </w:r>
      <w:r w:rsidR="00A157FF" w:rsidRPr="00A157FF">
        <w:t>up</w:t>
      </w:r>
      <w:r w:rsidRPr="00A157FF">
        <w:t xml:space="preserve"> from $</w:t>
      </w:r>
      <w:r w:rsidR="00C11506" w:rsidRPr="00A157FF">
        <w:t>1</w:t>
      </w:r>
      <w:r w:rsidR="00A157FF" w:rsidRPr="00A157FF">
        <w:t>26.4</w:t>
      </w:r>
      <w:r w:rsidRPr="00A157FF">
        <w:t xml:space="preserve"> million at the end of </w:t>
      </w:r>
      <w:r w:rsidR="00472C39" w:rsidRPr="00A157FF">
        <w:t>20</w:t>
      </w:r>
      <w:r w:rsidR="00C11506" w:rsidRPr="00A157FF">
        <w:t>2</w:t>
      </w:r>
      <w:r w:rsidR="00A157FF" w:rsidRPr="00A157FF">
        <w:t>2</w:t>
      </w:r>
      <w:r w:rsidR="00472C39" w:rsidRPr="00A157FF">
        <w:t xml:space="preserve">, </w:t>
      </w:r>
      <w:r w:rsidR="00C11506" w:rsidRPr="00A157FF">
        <w:t>due to</w:t>
      </w:r>
      <w:r w:rsidR="00472C39" w:rsidRPr="00A157FF">
        <w:t xml:space="preserve"> capital </w:t>
      </w:r>
      <w:r w:rsidR="00A157FF" w:rsidRPr="00A157FF">
        <w:t>gains</w:t>
      </w:r>
      <w:r w:rsidR="006720C5" w:rsidRPr="00A157FF">
        <w:t xml:space="preserve"> </w:t>
      </w:r>
      <w:r w:rsidR="00A157FF" w:rsidRPr="00A157FF">
        <w:t xml:space="preserve">and </w:t>
      </w:r>
      <w:r w:rsidR="00472C39" w:rsidRPr="00A157FF">
        <w:t xml:space="preserve">investment income. </w:t>
      </w:r>
    </w:p>
    <w:p w14:paraId="0521D8E8" w14:textId="77777777" w:rsidR="0078012E" w:rsidRPr="00C11506" w:rsidRDefault="003E42C5">
      <w:pPr>
        <w:pStyle w:val="BodyText"/>
        <w:spacing w:before="120"/>
        <w:ind w:left="100"/>
      </w:pPr>
      <w:r w:rsidRPr="00A157FF">
        <w:t>The distribution of assets for the Trust and Endowment is shown below.</w:t>
      </w:r>
    </w:p>
    <w:p w14:paraId="7E8AFD04" w14:textId="77777777" w:rsidR="0078012E" w:rsidRPr="00C11506" w:rsidRDefault="0078012E">
      <w:pPr>
        <w:pStyle w:val="BodyText"/>
        <w:spacing w:before="8"/>
        <w:rPr>
          <w:sz w:val="22"/>
        </w:rPr>
      </w:pPr>
    </w:p>
    <w:p w14:paraId="35198042" w14:textId="77777777" w:rsidR="006720C5" w:rsidRPr="00217176" w:rsidRDefault="003E42C5" w:rsidP="006720C5">
      <w:pPr>
        <w:pStyle w:val="Heading3"/>
        <w:spacing w:before="0"/>
      </w:pPr>
      <w:r w:rsidRPr="00C11506">
        <w:t>Asset Mix Summary</w:t>
      </w:r>
    </w:p>
    <w:p w14:paraId="2E5A3CEB" w14:textId="77777777" w:rsidR="00217176" w:rsidRDefault="00217176">
      <w:pPr>
        <w:rPr>
          <w:sz w:val="29"/>
        </w:rPr>
      </w:pPr>
    </w:p>
    <w:p w14:paraId="56DFCE26" w14:textId="6C7237C9" w:rsidR="006720C5" w:rsidRPr="00C11506" w:rsidRDefault="00A157FF" w:rsidP="00A157FF">
      <w:pPr>
        <w:jc w:val="center"/>
        <w:rPr>
          <w:sz w:val="29"/>
        </w:rPr>
        <w:sectPr w:rsidR="006720C5" w:rsidRPr="00C11506" w:rsidSect="00A04EBB">
          <w:footerReference w:type="default" r:id="rId14"/>
          <w:pgSz w:w="12240" w:h="15840"/>
          <w:pgMar w:top="1360" w:right="1120" w:bottom="1260" w:left="1340" w:header="0" w:footer="1060" w:gutter="0"/>
          <w:cols w:space="720"/>
        </w:sectPr>
      </w:pPr>
      <w:r>
        <w:rPr>
          <w:noProof/>
          <w:lang w:eastAsia="ja-JP" w:bidi="ar-SA"/>
        </w:rPr>
        <w:drawing>
          <wp:inline distT="0" distB="0" distL="0" distR="0" wp14:anchorId="2D92F6DD" wp14:editId="2F9A6E63">
            <wp:extent cx="4495800" cy="3883029"/>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00929" cy="3887459"/>
                    </a:xfrm>
                    <a:prstGeom prst="rect">
                      <a:avLst/>
                    </a:prstGeom>
                  </pic:spPr>
                </pic:pic>
              </a:graphicData>
            </a:graphic>
          </wp:inline>
        </w:drawing>
      </w:r>
    </w:p>
    <w:p w14:paraId="62F46C48" w14:textId="77777777" w:rsidR="0078012E" w:rsidRPr="006720C5" w:rsidRDefault="003E42C5">
      <w:pPr>
        <w:spacing w:before="79"/>
        <w:ind w:left="100"/>
        <w:rPr>
          <w:b/>
          <w:sz w:val="24"/>
        </w:rPr>
      </w:pPr>
      <w:r w:rsidRPr="006720C5">
        <w:rPr>
          <w:b/>
          <w:sz w:val="24"/>
        </w:rPr>
        <w:lastRenderedPageBreak/>
        <w:t>Distribution of Assets by Manager</w:t>
      </w:r>
    </w:p>
    <w:p w14:paraId="55EAF63F" w14:textId="77777777" w:rsidR="0078012E" w:rsidRPr="006720C5" w:rsidRDefault="0078012E">
      <w:pPr>
        <w:pStyle w:val="BodyText"/>
        <w:spacing w:before="9"/>
        <w:rPr>
          <w:b/>
          <w:sz w:val="22"/>
        </w:rPr>
      </w:pPr>
    </w:p>
    <w:p w14:paraId="31F5C4E6" w14:textId="6024E7BC" w:rsidR="0078012E" w:rsidRPr="00C11506" w:rsidRDefault="003E42C5" w:rsidP="00E86141">
      <w:pPr>
        <w:pStyle w:val="BodyText"/>
        <w:spacing w:line="360" w:lineRule="auto"/>
        <w:ind w:left="100" w:right="1058"/>
      </w:pPr>
      <w:r w:rsidRPr="00A157FF">
        <w:t xml:space="preserve">At the end of </w:t>
      </w:r>
      <w:r w:rsidR="00472C39" w:rsidRPr="00A157FF">
        <w:t>202</w:t>
      </w:r>
      <w:r w:rsidR="00A157FF" w:rsidRPr="00A157FF">
        <w:t>3</w:t>
      </w:r>
      <w:r w:rsidRPr="00A157FF">
        <w:t xml:space="preserve">, </w:t>
      </w:r>
      <w:r w:rsidR="00472C39" w:rsidRPr="00A157FF">
        <w:t>PH&amp;N</w:t>
      </w:r>
      <w:r w:rsidRPr="00A157FF">
        <w:t xml:space="preserve"> </w:t>
      </w:r>
      <w:r w:rsidRPr="00991014">
        <w:t xml:space="preserve">managed </w:t>
      </w:r>
      <w:r w:rsidR="00C11506" w:rsidRPr="00991014">
        <w:t>2</w:t>
      </w:r>
      <w:r w:rsidR="00A157FF" w:rsidRPr="00991014">
        <w:t>4.</w:t>
      </w:r>
      <w:r w:rsidR="00991014" w:rsidRPr="00991014">
        <w:t>7</w:t>
      </w:r>
      <w:r w:rsidRPr="00991014">
        <w:t>%</w:t>
      </w:r>
      <w:r w:rsidRPr="00A157FF">
        <w:t xml:space="preserve"> of the Trust and Endowment </w:t>
      </w:r>
      <w:r w:rsidR="00C64C4A" w:rsidRPr="00A157FF">
        <w:t xml:space="preserve">Fund </w:t>
      </w:r>
      <w:r w:rsidRPr="00A157FF">
        <w:t>assets in a domestic balanced mandate (Canadian equities and fixed income).</w:t>
      </w:r>
      <w:r w:rsidR="00E86141" w:rsidRPr="00A157FF">
        <w:t xml:space="preserve"> </w:t>
      </w:r>
      <w:r w:rsidRPr="00A157FF">
        <w:t>Mawer manages both a Canadian and a non-North American equity mandate. BlackRock manages passive U.S. equity</w:t>
      </w:r>
      <w:r w:rsidR="00A157FF" w:rsidRPr="00A157FF">
        <w:t xml:space="preserve">, </w:t>
      </w:r>
      <w:r w:rsidR="00472C39" w:rsidRPr="00A157FF">
        <w:t xml:space="preserve">Emerging Markets equity </w:t>
      </w:r>
      <w:r w:rsidRPr="00A157FF">
        <w:t>fund</w:t>
      </w:r>
      <w:r w:rsidR="00472C39" w:rsidRPr="00A157FF">
        <w:t xml:space="preserve">s, </w:t>
      </w:r>
      <w:r w:rsidR="006720C5" w:rsidRPr="00A157FF">
        <w:t xml:space="preserve">and a </w:t>
      </w:r>
      <w:r w:rsidR="00472C39" w:rsidRPr="00A157FF">
        <w:t xml:space="preserve">global </w:t>
      </w:r>
      <w:r w:rsidRPr="00A157FF">
        <w:t>absolute return bond strategy. Bentall and TD Greystone oversee the investments in real estate</w:t>
      </w:r>
      <w:r w:rsidR="006720C5" w:rsidRPr="00A157FF">
        <w:t>.</w:t>
      </w:r>
      <w:r w:rsidR="00A157FF" w:rsidRPr="00A157FF">
        <w:t xml:space="preserve"> KKR manages the investments in</w:t>
      </w:r>
      <w:r w:rsidR="00A157FF">
        <w:t xml:space="preserve"> Infrastructure.</w:t>
      </w:r>
    </w:p>
    <w:p w14:paraId="3C8F889E" w14:textId="77777777" w:rsidR="0078012E" w:rsidRPr="00C11506" w:rsidRDefault="0078012E">
      <w:pPr>
        <w:pStyle w:val="BodyText"/>
        <w:spacing w:before="2"/>
        <w:rPr>
          <w:sz w:val="21"/>
        </w:rPr>
      </w:pPr>
    </w:p>
    <w:p w14:paraId="6978DFCD" w14:textId="4FBDFD8B" w:rsidR="001026BB" w:rsidRPr="00991014" w:rsidRDefault="001026BB">
      <w:pPr>
        <w:pStyle w:val="TableParagraph"/>
        <w:tabs>
          <w:tab w:val="left" w:pos="2626"/>
          <w:tab w:val="left" w:pos="6454"/>
          <w:tab w:val="left" w:pos="8040"/>
        </w:tabs>
        <w:spacing w:before="0"/>
        <w:ind w:left="107"/>
        <w:rPr>
          <w:b/>
          <w:sz w:val="24"/>
        </w:rPr>
      </w:pPr>
      <w:r w:rsidRPr="00991014">
        <w:rPr>
          <w:b/>
          <w:sz w:val="24"/>
        </w:rPr>
        <w:t>Manager</w:t>
      </w:r>
      <w:r w:rsidRPr="00991014">
        <w:rPr>
          <w:b/>
          <w:sz w:val="24"/>
        </w:rPr>
        <w:tab/>
        <w:t>Mandate</w:t>
      </w:r>
      <w:r w:rsidRPr="00991014">
        <w:rPr>
          <w:b/>
          <w:sz w:val="24"/>
        </w:rPr>
        <w:tab/>
      </w:r>
      <w:r w:rsidR="00785FF1" w:rsidRPr="00991014">
        <w:rPr>
          <w:b/>
          <w:sz w:val="24"/>
        </w:rPr>
        <w:t>202</w:t>
      </w:r>
      <w:r w:rsidR="00A157FF" w:rsidRPr="00991014">
        <w:rPr>
          <w:b/>
          <w:sz w:val="24"/>
        </w:rPr>
        <w:t>3</w:t>
      </w:r>
      <w:r w:rsidRPr="00991014">
        <w:rPr>
          <w:b/>
          <w:sz w:val="24"/>
        </w:rPr>
        <w:tab/>
      </w:r>
      <w:r w:rsidR="000305AF" w:rsidRPr="00991014">
        <w:rPr>
          <w:b/>
          <w:sz w:val="24"/>
        </w:rPr>
        <w:t>202</w:t>
      </w:r>
      <w:r w:rsidR="00A157FF" w:rsidRPr="00991014">
        <w:rPr>
          <w:b/>
          <w:sz w:val="24"/>
        </w:rPr>
        <w:t>2</w:t>
      </w:r>
    </w:p>
    <w:p w14:paraId="5D2EA379" w14:textId="201D2F10" w:rsidR="001026BB" w:rsidRPr="00991014" w:rsidRDefault="00472C39">
      <w:pPr>
        <w:pStyle w:val="TableParagraph"/>
        <w:tabs>
          <w:tab w:val="left" w:pos="2626"/>
          <w:tab w:val="left" w:pos="6454"/>
          <w:tab w:val="left" w:pos="8040"/>
        </w:tabs>
        <w:spacing w:before="168"/>
        <w:ind w:left="107" w:right="153"/>
        <w:rPr>
          <w:sz w:val="24"/>
        </w:rPr>
      </w:pPr>
      <w:r w:rsidRPr="00991014">
        <w:rPr>
          <w:sz w:val="24"/>
        </w:rPr>
        <w:t>PH&amp;N</w:t>
      </w:r>
      <w:r w:rsidR="001026BB" w:rsidRPr="00991014">
        <w:rPr>
          <w:sz w:val="24"/>
        </w:rPr>
        <w:tab/>
        <w:t>Domestic Balanced</w:t>
      </w:r>
      <w:r w:rsidR="001026BB" w:rsidRPr="00991014">
        <w:rPr>
          <w:sz w:val="24"/>
        </w:rPr>
        <w:tab/>
      </w:r>
      <w:r w:rsidR="006251A6" w:rsidRPr="00991014">
        <w:rPr>
          <w:sz w:val="24"/>
        </w:rPr>
        <w:t>2</w:t>
      </w:r>
      <w:r w:rsidR="00A157FF" w:rsidRPr="00991014">
        <w:rPr>
          <w:sz w:val="24"/>
        </w:rPr>
        <w:t>4.</w:t>
      </w:r>
      <w:r w:rsidR="00991014" w:rsidRPr="00991014">
        <w:rPr>
          <w:sz w:val="24"/>
        </w:rPr>
        <w:t>7</w:t>
      </w:r>
      <w:r w:rsidR="001026BB" w:rsidRPr="00991014">
        <w:rPr>
          <w:sz w:val="24"/>
        </w:rPr>
        <w:t>%</w:t>
      </w:r>
      <w:r w:rsidR="001026BB" w:rsidRPr="00991014">
        <w:rPr>
          <w:sz w:val="24"/>
        </w:rPr>
        <w:tab/>
      </w:r>
      <w:r w:rsidR="00DF6543" w:rsidRPr="00991014">
        <w:rPr>
          <w:sz w:val="24"/>
        </w:rPr>
        <w:t>2</w:t>
      </w:r>
      <w:r w:rsidR="00991014" w:rsidRPr="00991014">
        <w:rPr>
          <w:sz w:val="24"/>
        </w:rPr>
        <w:t>5.0</w:t>
      </w:r>
      <w:r w:rsidR="00DF6543" w:rsidRPr="00991014">
        <w:rPr>
          <w:sz w:val="24"/>
        </w:rPr>
        <w:t>%</w:t>
      </w:r>
    </w:p>
    <w:p w14:paraId="6142374A" w14:textId="01BE7ADC" w:rsidR="001026BB" w:rsidRPr="00991014" w:rsidRDefault="001026BB">
      <w:pPr>
        <w:pStyle w:val="TableParagraph"/>
        <w:tabs>
          <w:tab w:val="left" w:pos="2626"/>
          <w:tab w:val="left" w:pos="6454"/>
          <w:tab w:val="left" w:pos="8040"/>
        </w:tabs>
        <w:spacing w:before="184"/>
        <w:ind w:left="107" w:right="153"/>
        <w:rPr>
          <w:sz w:val="24"/>
        </w:rPr>
      </w:pPr>
      <w:r w:rsidRPr="00991014">
        <w:rPr>
          <w:sz w:val="24"/>
        </w:rPr>
        <w:t>Mawer</w:t>
      </w:r>
      <w:r w:rsidRPr="00991014">
        <w:rPr>
          <w:sz w:val="24"/>
        </w:rPr>
        <w:tab/>
        <w:t xml:space="preserve">Canadian </w:t>
      </w:r>
      <w:r w:rsidR="00203701" w:rsidRPr="00991014">
        <w:rPr>
          <w:sz w:val="24"/>
        </w:rPr>
        <w:t xml:space="preserve">and </w:t>
      </w:r>
      <w:r w:rsidRPr="00991014">
        <w:rPr>
          <w:sz w:val="24"/>
        </w:rPr>
        <w:t xml:space="preserve">NNA </w:t>
      </w:r>
      <w:r w:rsidR="00203701" w:rsidRPr="00991014">
        <w:rPr>
          <w:sz w:val="24"/>
        </w:rPr>
        <w:t>E</w:t>
      </w:r>
      <w:r w:rsidRPr="00991014">
        <w:rPr>
          <w:sz w:val="24"/>
        </w:rPr>
        <w:t>quities</w:t>
      </w:r>
      <w:r w:rsidRPr="00991014">
        <w:rPr>
          <w:sz w:val="24"/>
        </w:rPr>
        <w:tab/>
      </w:r>
      <w:r w:rsidR="00A157FF" w:rsidRPr="00991014">
        <w:rPr>
          <w:sz w:val="24"/>
        </w:rPr>
        <w:t>27.</w:t>
      </w:r>
      <w:r w:rsidR="00991014" w:rsidRPr="00991014">
        <w:rPr>
          <w:sz w:val="24"/>
        </w:rPr>
        <w:t>4</w:t>
      </w:r>
      <w:r w:rsidR="0069579F" w:rsidRPr="00991014">
        <w:rPr>
          <w:sz w:val="24"/>
        </w:rPr>
        <w:t>%</w:t>
      </w:r>
      <w:r w:rsidRPr="00991014">
        <w:rPr>
          <w:sz w:val="24"/>
        </w:rPr>
        <w:tab/>
      </w:r>
      <w:r w:rsidR="00991014" w:rsidRPr="00991014">
        <w:rPr>
          <w:sz w:val="24"/>
        </w:rPr>
        <w:t>18.7</w:t>
      </w:r>
      <w:r w:rsidR="00DF6543" w:rsidRPr="00991014">
        <w:rPr>
          <w:sz w:val="24"/>
        </w:rPr>
        <w:t>%</w:t>
      </w:r>
    </w:p>
    <w:p w14:paraId="44500606" w14:textId="77777777" w:rsidR="00203701" w:rsidRPr="00991014" w:rsidRDefault="001026BB">
      <w:pPr>
        <w:pStyle w:val="TableParagraph"/>
        <w:tabs>
          <w:tab w:val="left" w:pos="2626"/>
          <w:tab w:val="left" w:pos="6454"/>
          <w:tab w:val="left" w:pos="8040"/>
        </w:tabs>
        <w:spacing w:before="184"/>
        <w:ind w:left="107" w:right="153"/>
        <w:rPr>
          <w:sz w:val="24"/>
        </w:rPr>
      </w:pPr>
      <w:r w:rsidRPr="00991014">
        <w:rPr>
          <w:sz w:val="24"/>
        </w:rPr>
        <w:t>BlackRock</w:t>
      </w:r>
      <w:r w:rsidRPr="00991014">
        <w:rPr>
          <w:sz w:val="24"/>
        </w:rPr>
        <w:tab/>
        <w:t>U.S.</w:t>
      </w:r>
      <w:r w:rsidR="00203701" w:rsidRPr="00991014">
        <w:rPr>
          <w:sz w:val="24"/>
        </w:rPr>
        <w:t xml:space="preserve"> Equities,</w:t>
      </w:r>
      <w:r w:rsidR="00785FF1" w:rsidRPr="00991014">
        <w:rPr>
          <w:sz w:val="24"/>
        </w:rPr>
        <w:t xml:space="preserve"> EM </w:t>
      </w:r>
      <w:r w:rsidR="00203701" w:rsidRPr="00991014">
        <w:rPr>
          <w:sz w:val="24"/>
        </w:rPr>
        <w:t>E</w:t>
      </w:r>
      <w:r w:rsidRPr="00991014">
        <w:rPr>
          <w:sz w:val="24"/>
        </w:rPr>
        <w:t>quities</w:t>
      </w:r>
      <w:r w:rsidR="00203701" w:rsidRPr="00991014">
        <w:rPr>
          <w:sz w:val="24"/>
        </w:rPr>
        <w:t>,</w:t>
      </w:r>
      <w:r w:rsidR="000305AF" w:rsidRPr="00991014">
        <w:rPr>
          <w:sz w:val="24"/>
        </w:rPr>
        <w:t xml:space="preserve"> and</w:t>
      </w:r>
    </w:p>
    <w:p w14:paraId="4D03DC7C" w14:textId="46506841" w:rsidR="001026BB" w:rsidRPr="00991014" w:rsidRDefault="00203701">
      <w:pPr>
        <w:pStyle w:val="TableParagraph"/>
        <w:tabs>
          <w:tab w:val="left" w:pos="2626"/>
          <w:tab w:val="left" w:pos="6454"/>
          <w:tab w:val="left" w:pos="8040"/>
        </w:tabs>
        <w:spacing w:before="184"/>
        <w:ind w:left="107" w:right="153"/>
        <w:rPr>
          <w:sz w:val="24"/>
        </w:rPr>
      </w:pPr>
      <w:r w:rsidRPr="00991014">
        <w:rPr>
          <w:sz w:val="24"/>
        </w:rPr>
        <w:tab/>
        <w:t>A</w:t>
      </w:r>
      <w:r w:rsidR="001026BB" w:rsidRPr="00991014">
        <w:rPr>
          <w:sz w:val="24"/>
        </w:rPr>
        <w:t xml:space="preserve">bsolute </w:t>
      </w:r>
      <w:r w:rsidRPr="00991014">
        <w:rPr>
          <w:sz w:val="24"/>
        </w:rPr>
        <w:t>R</w:t>
      </w:r>
      <w:r w:rsidR="001026BB" w:rsidRPr="00991014">
        <w:rPr>
          <w:sz w:val="24"/>
        </w:rPr>
        <w:t xml:space="preserve">eturn </w:t>
      </w:r>
      <w:r w:rsidRPr="00991014">
        <w:rPr>
          <w:sz w:val="24"/>
        </w:rPr>
        <w:t>B</w:t>
      </w:r>
      <w:r w:rsidR="001026BB" w:rsidRPr="00991014">
        <w:rPr>
          <w:sz w:val="24"/>
        </w:rPr>
        <w:t>onds</w:t>
      </w:r>
      <w:r w:rsidRPr="00991014">
        <w:rPr>
          <w:sz w:val="24"/>
        </w:rPr>
        <w:tab/>
      </w:r>
      <w:r w:rsidR="00A157FF" w:rsidRPr="00991014">
        <w:rPr>
          <w:sz w:val="24"/>
        </w:rPr>
        <w:t>25.</w:t>
      </w:r>
      <w:r w:rsidR="00991014" w:rsidRPr="00991014">
        <w:rPr>
          <w:sz w:val="24"/>
        </w:rPr>
        <w:t>9</w:t>
      </w:r>
      <w:r w:rsidR="00785FF1" w:rsidRPr="00991014">
        <w:rPr>
          <w:sz w:val="24"/>
        </w:rPr>
        <w:t>%</w:t>
      </w:r>
      <w:r w:rsidR="001026BB" w:rsidRPr="00991014">
        <w:rPr>
          <w:sz w:val="24"/>
        </w:rPr>
        <w:tab/>
      </w:r>
      <w:r w:rsidR="00A157FF" w:rsidRPr="00991014">
        <w:rPr>
          <w:sz w:val="24"/>
        </w:rPr>
        <w:t>16.</w:t>
      </w:r>
      <w:r w:rsidR="00991014" w:rsidRPr="00991014">
        <w:rPr>
          <w:sz w:val="24"/>
        </w:rPr>
        <w:t>7</w:t>
      </w:r>
      <w:r w:rsidR="00DF6543" w:rsidRPr="00991014">
        <w:rPr>
          <w:sz w:val="24"/>
        </w:rPr>
        <w:t>%</w:t>
      </w:r>
    </w:p>
    <w:p w14:paraId="282E65C1" w14:textId="68C87289" w:rsidR="001026BB" w:rsidRPr="00991014" w:rsidRDefault="001026BB" w:rsidP="005072A7">
      <w:pPr>
        <w:pStyle w:val="TableParagraph"/>
        <w:tabs>
          <w:tab w:val="left" w:pos="2626"/>
          <w:tab w:val="left" w:pos="6454"/>
          <w:tab w:val="left" w:pos="8040"/>
        </w:tabs>
        <w:spacing w:before="184"/>
        <w:ind w:left="107" w:right="153"/>
        <w:rPr>
          <w:sz w:val="24"/>
        </w:rPr>
      </w:pPr>
      <w:r w:rsidRPr="00991014">
        <w:rPr>
          <w:sz w:val="24"/>
        </w:rPr>
        <w:t>GMO</w:t>
      </w:r>
      <w:r w:rsidRPr="00991014">
        <w:rPr>
          <w:sz w:val="24"/>
        </w:rPr>
        <w:tab/>
        <w:t>Global</w:t>
      </w:r>
      <w:r w:rsidR="00203701" w:rsidRPr="00991014">
        <w:rPr>
          <w:sz w:val="24"/>
        </w:rPr>
        <w:t xml:space="preserve"> Equities</w:t>
      </w:r>
      <w:r w:rsidRPr="00991014">
        <w:rPr>
          <w:sz w:val="24"/>
        </w:rPr>
        <w:tab/>
      </w:r>
      <w:r w:rsidR="005072A7">
        <w:rPr>
          <w:sz w:val="24"/>
        </w:rPr>
        <w:t>0.0%</w:t>
      </w:r>
      <w:r w:rsidRPr="00991014">
        <w:rPr>
          <w:sz w:val="24"/>
        </w:rPr>
        <w:tab/>
      </w:r>
      <w:r w:rsidR="00991014" w:rsidRPr="00991014">
        <w:rPr>
          <w:sz w:val="24"/>
        </w:rPr>
        <w:t>16.0</w:t>
      </w:r>
      <w:r w:rsidR="00DF6543" w:rsidRPr="00991014">
        <w:rPr>
          <w:sz w:val="24"/>
        </w:rPr>
        <w:t>%</w:t>
      </w:r>
    </w:p>
    <w:p w14:paraId="17025563" w14:textId="78A603C7" w:rsidR="001026BB" w:rsidRPr="00991014" w:rsidRDefault="001026BB">
      <w:pPr>
        <w:pStyle w:val="TableParagraph"/>
        <w:tabs>
          <w:tab w:val="left" w:pos="2626"/>
          <w:tab w:val="left" w:pos="6454"/>
          <w:tab w:val="left" w:pos="8040"/>
        </w:tabs>
        <w:spacing w:before="184"/>
        <w:ind w:left="107" w:right="153"/>
        <w:rPr>
          <w:sz w:val="24"/>
        </w:rPr>
      </w:pPr>
      <w:r w:rsidRPr="00991014">
        <w:rPr>
          <w:sz w:val="24"/>
        </w:rPr>
        <w:t>Bentall</w:t>
      </w:r>
      <w:r w:rsidRPr="00991014">
        <w:rPr>
          <w:sz w:val="24"/>
        </w:rPr>
        <w:tab/>
        <w:t>Real Estate</w:t>
      </w:r>
      <w:r w:rsidRPr="00991014">
        <w:rPr>
          <w:sz w:val="24"/>
        </w:rPr>
        <w:tab/>
      </w:r>
      <w:r w:rsidR="00A157FF" w:rsidRPr="00991014">
        <w:rPr>
          <w:sz w:val="24"/>
        </w:rPr>
        <w:t>5.</w:t>
      </w:r>
      <w:r w:rsidR="00991014" w:rsidRPr="00991014">
        <w:rPr>
          <w:sz w:val="24"/>
        </w:rPr>
        <w:t>4</w:t>
      </w:r>
      <w:r w:rsidRPr="00991014">
        <w:rPr>
          <w:sz w:val="24"/>
        </w:rPr>
        <w:t>%</w:t>
      </w:r>
      <w:r w:rsidRPr="00991014">
        <w:rPr>
          <w:sz w:val="24"/>
        </w:rPr>
        <w:tab/>
      </w:r>
      <w:r w:rsidR="00991014" w:rsidRPr="00991014">
        <w:rPr>
          <w:sz w:val="24"/>
        </w:rPr>
        <w:t>6.2</w:t>
      </w:r>
      <w:r w:rsidR="00DF6543" w:rsidRPr="00991014">
        <w:rPr>
          <w:sz w:val="24"/>
        </w:rPr>
        <w:t>%</w:t>
      </w:r>
    </w:p>
    <w:p w14:paraId="4F927A40" w14:textId="5B558B4C" w:rsidR="001026BB" w:rsidRPr="00991014" w:rsidRDefault="001026BB">
      <w:pPr>
        <w:pStyle w:val="TableParagraph"/>
        <w:tabs>
          <w:tab w:val="left" w:pos="2626"/>
          <w:tab w:val="left" w:pos="6454"/>
          <w:tab w:val="left" w:pos="8040"/>
        </w:tabs>
        <w:spacing w:before="184"/>
        <w:ind w:left="107" w:right="153"/>
        <w:rPr>
          <w:sz w:val="24"/>
        </w:rPr>
      </w:pPr>
      <w:r w:rsidRPr="00991014">
        <w:rPr>
          <w:sz w:val="24"/>
        </w:rPr>
        <w:t>TD Greystone</w:t>
      </w:r>
      <w:r w:rsidRPr="00991014">
        <w:rPr>
          <w:sz w:val="24"/>
        </w:rPr>
        <w:tab/>
        <w:t>Real Estate</w:t>
      </w:r>
      <w:r w:rsidRPr="00991014">
        <w:rPr>
          <w:sz w:val="24"/>
        </w:rPr>
        <w:tab/>
      </w:r>
      <w:r w:rsidR="00A157FF" w:rsidRPr="00991014">
        <w:rPr>
          <w:sz w:val="24"/>
        </w:rPr>
        <w:t>5.</w:t>
      </w:r>
      <w:r w:rsidR="00991014" w:rsidRPr="00991014">
        <w:rPr>
          <w:sz w:val="24"/>
        </w:rPr>
        <w:t>9</w:t>
      </w:r>
      <w:r w:rsidRPr="00991014">
        <w:rPr>
          <w:sz w:val="24"/>
        </w:rPr>
        <w:t>%</w:t>
      </w:r>
      <w:r w:rsidRPr="00991014">
        <w:rPr>
          <w:sz w:val="24"/>
        </w:rPr>
        <w:tab/>
      </w:r>
      <w:r w:rsidR="00A157FF" w:rsidRPr="00991014">
        <w:rPr>
          <w:sz w:val="24"/>
        </w:rPr>
        <w:t>6.</w:t>
      </w:r>
      <w:r w:rsidR="00991014" w:rsidRPr="00991014">
        <w:rPr>
          <w:sz w:val="24"/>
        </w:rPr>
        <w:t>4</w:t>
      </w:r>
      <w:r w:rsidR="00DF6543" w:rsidRPr="00991014">
        <w:rPr>
          <w:sz w:val="24"/>
        </w:rPr>
        <w:t>%</w:t>
      </w:r>
    </w:p>
    <w:p w14:paraId="0B91E4E6" w14:textId="7D0F1470" w:rsidR="00A157FF" w:rsidRPr="00991014" w:rsidRDefault="00A157FF">
      <w:pPr>
        <w:pStyle w:val="TableParagraph"/>
        <w:tabs>
          <w:tab w:val="left" w:pos="2626"/>
          <w:tab w:val="left" w:pos="6454"/>
          <w:tab w:val="left" w:pos="8040"/>
        </w:tabs>
        <w:spacing w:before="184"/>
        <w:ind w:left="107" w:right="153"/>
        <w:rPr>
          <w:sz w:val="24"/>
        </w:rPr>
      </w:pPr>
      <w:r w:rsidRPr="00991014">
        <w:rPr>
          <w:sz w:val="24"/>
        </w:rPr>
        <w:t>BlackRock</w:t>
      </w:r>
      <w:r w:rsidRPr="00991014">
        <w:rPr>
          <w:sz w:val="24"/>
        </w:rPr>
        <w:tab/>
        <w:t>Infrastructure</w:t>
      </w:r>
      <w:r w:rsidRPr="00991014">
        <w:rPr>
          <w:sz w:val="24"/>
        </w:rPr>
        <w:tab/>
        <w:t>0.0%</w:t>
      </w:r>
      <w:r w:rsidRPr="00991014">
        <w:rPr>
          <w:sz w:val="24"/>
        </w:rPr>
        <w:tab/>
      </w:r>
      <w:r w:rsidR="0054209B" w:rsidRPr="00991014">
        <w:rPr>
          <w:sz w:val="24"/>
        </w:rPr>
        <w:t>10.</w:t>
      </w:r>
      <w:r w:rsidR="00991014" w:rsidRPr="00991014">
        <w:rPr>
          <w:sz w:val="24"/>
        </w:rPr>
        <w:t>9</w:t>
      </w:r>
      <w:r w:rsidR="0054209B" w:rsidRPr="00991014">
        <w:rPr>
          <w:sz w:val="24"/>
        </w:rPr>
        <w:t>%</w:t>
      </w:r>
    </w:p>
    <w:p w14:paraId="4168C76F" w14:textId="21895982" w:rsidR="00DF6543" w:rsidRPr="00991014" w:rsidRDefault="00A157FF">
      <w:pPr>
        <w:pStyle w:val="TableParagraph"/>
        <w:tabs>
          <w:tab w:val="left" w:pos="2626"/>
          <w:tab w:val="left" w:pos="6454"/>
          <w:tab w:val="left" w:pos="8040"/>
        </w:tabs>
        <w:spacing w:before="184"/>
        <w:ind w:left="107" w:right="153"/>
        <w:rPr>
          <w:sz w:val="24"/>
        </w:rPr>
      </w:pPr>
      <w:r w:rsidRPr="00991014">
        <w:rPr>
          <w:sz w:val="24"/>
        </w:rPr>
        <w:t>KKR</w:t>
      </w:r>
      <w:r w:rsidR="00DF6543" w:rsidRPr="00991014">
        <w:rPr>
          <w:sz w:val="24"/>
        </w:rPr>
        <w:t xml:space="preserve"> </w:t>
      </w:r>
      <w:r w:rsidR="00DF6543" w:rsidRPr="00991014">
        <w:rPr>
          <w:sz w:val="24"/>
        </w:rPr>
        <w:tab/>
        <w:t>Infrastructure</w:t>
      </w:r>
      <w:r w:rsidR="00DF6543" w:rsidRPr="00991014">
        <w:rPr>
          <w:sz w:val="24"/>
        </w:rPr>
        <w:tab/>
      </w:r>
      <w:r w:rsidR="006720C5" w:rsidRPr="00991014">
        <w:rPr>
          <w:sz w:val="24"/>
        </w:rPr>
        <w:t>10.</w:t>
      </w:r>
      <w:r w:rsidR="00991014" w:rsidRPr="00991014">
        <w:rPr>
          <w:sz w:val="24"/>
        </w:rPr>
        <w:t>8</w:t>
      </w:r>
      <w:r w:rsidR="006720C5" w:rsidRPr="00991014">
        <w:rPr>
          <w:sz w:val="24"/>
        </w:rPr>
        <w:t>%</w:t>
      </w:r>
      <w:r w:rsidR="00DF6543" w:rsidRPr="00991014">
        <w:rPr>
          <w:sz w:val="24"/>
        </w:rPr>
        <w:tab/>
      </w:r>
      <w:r w:rsidRPr="00991014">
        <w:rPr>
          <w:sz w:val="24"/>
        </w:rPr>
        <w:t>0.0%</w:t>
      </w:r>
    </w:p>
    <w:p w14:paraId="6BB7D386" w14:textId="77777777" w:rsidR="001026BB" w:rsidRPr="00991014" w:rsidRDefault="001026BB">
      <w:pPr>
        <w:pStyle w:val="TableParagraph"/>
        <w:tabs>
          <w:tab w:val="left" w:pos="2626"/>
          <w:tab w:val="left" w:pos="6454"/>
          <w:tab w:val="left" w:pos="8040"/>
        </w:tabs>
        <w:spacing w:before="184"/>
        <w:ind w:left="107" w:right="153"/>
        <w:rPr>
          <w:sz w:val="24"/>
        </w:rPr>
      </w:pPr>
      <w:r w:rsidRPr="00991014">
        <w:rPr>
          <w:sz w:val="24"/>
        </w:rPr>
        <w:t>Cash Account</w:t>
      </w:r>
      <w:r w:rsidRPr="00991014">
        <w:rPr>
          <w:sz w:val="24"/>
        </w:rPr>
        <w:tab/>
      </w:r>
      <w:r w:rsidR="00203701" w:rsidRPr="00991014">
        <w:rPr>
          <w:sz w:val="24"/>
        </w:rPr>
        <w:t>Liquidity</w:t>
      </w:r>
      <w:r w:rsidRPr="00991014">
        <w:rPr>
          <w:sz w:val="24"/>
        </w:rPr>
        <w:tab/>
      </w:r>
      <w:r w:rsidR="00472C39" w:rsidRPr="00991014">
        <w:rPr>
          <w:sz w:val="24"/>
        </w:rPr>
        <w:t>0.0</w:t>
      </w:r>
      <w:r w:rsidRPr="00991014">
        <w:rPr>
          <w:sz w:val="24"/>
        </w:rPr>
        <w:t>%</w:t>
      </w:r>
      <w:r w:rsidRPr="00991014">
        <w:rPr>
          <w:sz w:val="24"/>
        </w:rPr>
        <w:tab/>
      </w:r>
      <w:r w:rsidR="00472C39" w:rsidRPr="00991014">
        <w:rPr>
          <w:sz w:val="24"/>
        </w:rPr>
        <w:t>0.</w:t>
      </w:r>
      <w:r w:rsidR="000305AF" w:rsidRPr="00991014">
        <w:rPr>
          <w:sz w:val="24"/>
        </w:rPr>
        <w:t>0</w:t>
      </w:r>
      <w:r w:rsidR="00472C39" w:rsidRPr="00991014">
        <w:rPr>
          <w:sz w:val="24"/>
        </w:rPr>
        <w:t>%</w:t>
      </w:r>
    </w:p>
    <w:p w14:paraId="14E22EE3" w14:textId="24789DB9" w:rsidR="00785FF1" w:rsidRPr="0054209B" w:rsidRDefault="001026BB" w:rsidP="0054209B">
      <w:pPr>
        <w:pStyle w:val="TableParagraph"/>
        <w:tabs>
          <w:tab w:val="left" w:pos="2626"/>
          <w:tab w:val="left" w:pos="6454"/>
          <w:tab w:val="left" w:pos="8040"/>
        </w:tabs>
        <w:spacing w:before="121" w:line="250" w:lineRule="exact"/>
        <w:ind w:left="107" w:right="153"/>
        <w:rPr>
          <w:sz w:val="24"/>
        </w:rPr>
      </w:pPr>
      <w:r w:rsidRPr="00991014">
        <w:rPr>
          <w:rFonts w:ascii="Times New Roman"/>
          <w:sz w:val="24"/>
        </w:rPr>
        <w:tab/>
      </w:r>
      <w:r w:rsidRPr="00991014">
        <w:rPr>
          <w:rFonts w:ascii="Times New Roman"/>
          <w:sz w:val="24"/>
        </w:rPr>
        <w:tab/>
      </w:r>
      <w:r w:rsidRPr="00991014">
        <w:rPr>
          <w:sz w:val="24"/>
        </w:rPr>
        <w:t>100.0%</w:t>
      </w:r>
      <w:r w:rsidRPr="00991014">
        <w:rPr>
          <w:sz w:val="24"/>
        </w:rPr>
        <w:tab/>
        <w:t>100.0%</w:t>
      </w:r>
    </w:p>
    <w:sectPr w:rsidR="00785FF1" w:rsidRPr="0054209B">
      <w:pgSz w:w="12240" w:h="15840"/>
      <w:pgMar w:top="1360" w:right="1120" w:bottom="1260" w:left="134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CDB9E" w14:textId="77777777" w:rsidR="00E53FDC" w:rsidRDefault="00E53FDC">
      <w:r>
        <w:separator/>
      </w:r>
    </w:p>
  </w:endnote>
  <w:endnote w:type="continuationSeparator" w:id="0">
    <w:p w14:paraId="37139670" w14:textId="77777777" w:rsidR="00E53FDC" w:rsidRDefault="00E5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BDA3C" w14:textId="77777777" w:rsidR="00723707" w:rsidRDefault="00723707">
    <w:pPr>
      <w:pStyle w:val="BodyText"/>
      <w:spacing w:line="14" w:lineRule="auto"/>
      <w:rPr>
        <w:sz w:val="20"/>
      </w:rPr>
    </w:pPr>
    <w:r>
      <w:rPr>
        <w:noProof/>
        <w:lang w:eastAsia="ja-JP" w:bidi="ar-SA"/>
      </w:rPr>
      <mc:AlternateContent>
        <mc:Choice Requires="wps">
          <w:drawing>
            <wp:anchor distT="0" distB="0" distL="114300" distR="114300" simplePos="0" relativeHeight="251157504" behindDoc="1" locked="0" layoutInCell="1" allowOverlap="1" wp14:anchorId="4091FF43" wp14:editId="3BFA93EB">
              <wp:simplePos x="0" y="0"/>
              <wp:positionH relativeFrom="page">
                <wp:posOffset>3740785</wp:posOffset>
              </wp:positionH>
              <wp:positionV relativeFrom="page">
                <wp:posOffset>9258300</wp:posOffset>
              </wp:positionV>
              <wp:extent cx="64135" cy="889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EBAA5" id="Rectangle 4" o:spid="_x0000_s1026" style="position:absolute;margin-left:294.55pt;margin-top:729pt;width:5.05pt;height:.7pt;z-index:-25215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" fillcolor="black" stroked="f">
              <w10:wrap anchorx="page" anchory="page"/>
            </v:rect>
          </w:pict>
        </mc:Fallback>
      </mc:AlternateContent>
    </w:r>
    <w:r>
      <w:rPr>
        <w:noProof/>
        <w:lang w:eastAsia="ja-JP" w:bidi="ar-SA"/>
      </w:rPr>
      <mc:AlternateContent>
        <mc:Choice Requires="wps">
          <w:drawing>
            <wp:anchor distT="0" distB="0" distL="114300" distR="114300" simplePos="0" relativeHeight="251158528" behindDoc="1" locked="0" layoutInCell="1" allowOverlap="1" wp14:anchorId="17096B66" wp14:editId="5F69F767">
              <wp:simplePos x="0" y="0"/>
              <wp:positionH relativeFrom="page">
                <wp:posOffset>3702685</wp:posOffset>
              </wp:positionH>
              <wp:positionV relativeFrom="page">
                <wp:posOffset>9281795</wp:posOffset>
              </wp:positionV>
              <wp:extent cx="13970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3B500" w14:textId="30C429A1" w:rsidR="00723707" w:rsidRDefault="0072370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7393E">
                            <w:rPr>
                              <w:rFonts w:ascii="Times New Roman"/>
                              <w:noProof/>
                              <w:w w:val="99"/>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96B66" id="_x0000_t202" coordsize="21600,21600" o:spt="202" path="m,l,21600r21600,l21600,xe">
              <v:stroke joinstyle="miter"/>
              <v:path gradientshapeok="t" o:connecttype="rect"/>
            </v:shapetype>
            <v:shape id="Text Box 3" o:spid="_x0000_s1026" type="#_x0000_t202" style="position:absolute;margin-left:291.55pt;margin-top:730.85pt;width:11pt;height:13.05pt;z-index:-25215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" filled="f" stroked="f">
              <v:textbox inset="0,0,0,0">
                <w:txbxContent>
                  <w:p w14:paraId="50E3B500" w14:textId="30C429A1" w:rsidR="00723707" w:rsidRDefault="0072370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7393E">
                      <w:rPr>
                        <w:rFonts w:ascii="Times New Roman"/>
                        <w:noProof/>
                        <w:w w:val="99"/>
                        <w:sz w:val="20"/>
                      </w:rP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90EF0" w14:textId="77777777" w:rsidR="00723707" w:rsidRDefault="00723707">
    <w:pPr>
      <w:pStyle w:val="BodyText"/>
      <w:spacing w:line="14" w:lineRule="auto"/>
      <w:rPr>
        <w:sz w:val="20"/>
      </w:rPr>
    </w:pPr>
    <w:r>
      <w:rPr>
        <w:noProof/>
        <w:lang w:eastAsia="ja-JP" w:bidi="ar-SA"/>
      </w:rPr>
      <mc:AlternateContent>
        <mc:Choice Requires="wps">
          <w:drawing>
            <wp:anchor distT="0" distB="0" distL="114300" distR="114300" simplePos="0" relativeHeight="251159552" behindDoc="1" locked="0" layoutInCell="1" allowOverlap="1" wp14:anchorId="7F4511F7" wp14:editId="17CF31FC">
              <wp:simplePos x="0" y="0"/>
              <wp:positionH relativeFrom="page">
                <wp:posOffset>3708400</wp:posOffset>
              </wp:positionH>
              <wp:positionV relativeFrom="page">
                <wp:posOffset>9262745</wp:posOffset>
              </wp:positionV>
              <wp:extent cx="12827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ED504" id="Line 2" o:spid="_x0000_s1026" style="position:absolute;z-index:-25215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2pt,729.35pt" to="302.1pt,7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" strokeweight=".72pt">
              <w10:wrap anchorx="page" anchory="page"/>
            </v:line>
          </w:pict>
        </mc:Fallback>
      </mc:AlternateContent>
    </w:r>
    <w:r>
      <w:rPr>
        <w:noProof/>
        <w:lang w:eastAsia="ja-JP" w:bidi="ar-SA"/>
      </w:rPr>
      <mc:AlternateContent>
        <mc:Choice Requires="wps">
          <w:drawing>
            <wp:anchor distT="0" distB="0" distL="114300" distR="114300" simplePos="0" relativeHeight="251160576" behindDoc="1" locked="0" layoutInCell="1" allowOverlap="1" wp14:anchorId="02BD50C4" wp14:editId="33D015DE">
              <wp:simplePos x="0" y="0"/>
              <wp:positionH relativeFrom="page">
                <wp:posOffset>3670300</wp:posOffset>
              </wp:positionH>
              <wp:positionV relativeFrom="page">
                <wp:posOffset>9281795</wp:posOffset>
              </wp:positionV>
              <wp:extent cx="204470" cy="165735"/>
              <wp:effectExtent l="0" t="0" r="508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8BEA0" w14:textId="0F127BB5" w:rsidR="00723707" w:rsidRDefault="00723707">
                          <w:pPr>
                            <w:spacing w:before="10"/>
                            <w:ind w:left="60"/>
                            <w:rPr>
                              <w:rFonts w:ascii="Times New Roman"/>
                              <w:sz w:val="20"/>
                            </w:rPr>
                          </w:pPr>
                          <w:r>
                            <w:fldChar w:fldCharType="begin"/>
                          </w:r>
                          <w:r>
                            <w:rPr>
                              <w:rFonts w:ascii="Times New Roman"/>
                              <w:sz w:val="20"/>
                            </w:rPr>
                            <w:instrText xml:space="preserve"> PAGE </w:instrText>
                          </w:r>
                          <w:r>
                            <w:fldChar w:fldCharType="separate"/>
                          </w:r>
                          <w:r w:rsidR="0047393E">
                            <w:rPr>
                              <w:rFonts w:ascii="Times New Roman"/>
                              <w:noProof/>
                              <w:sz w:val="20"/>
                            </w:rPr>
                            <w:t>13</w:t>
                          </w:r>
                          <w:r>
                            <w:fldChar w:fldCharType="end"/>
                          </w:r>
                          <w:r w:rsidR="00A04EBB">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D50C4" id="_x0000_t202" coordsize="21600,21600" o:spt="202" path="m,l,21600r21600,l21600,xe">
              <v:stroke joinstyle="miter"/>
              <v:path gradientshapeok="t" o:connecttype="rect"/>
            </v:shapetype>
            <v:shape id="Text Box 1" o:spid="_x0000_s1027" type="#_x0000_t202" style="position:absolute;margin-left:289pt;margin-top:730.85pt;width:16.1pt;height:13.05pt;z-index:-25215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" filled="f" stroked="f">
              <v:textbox inset="0,0,0,0">
                <w:txbxContent>
                  <w:p w14:paraId="0138BEA0" w14:textId="0F127BB5" w:rsidR="00723707" w:rsidRDefault="00723707">
                    <w:pPr>
                      <w:spacing w:before="10"/>
                      <w:ind w:left="60"/>
                      <w:rPr>
                        <w:rFonts w:ascii="Times New Roman"/>
                        <w:sz w:val="20"/>
                      </w:rPr>
                    </w:pPr>
                    <w:r>
                      <w:fldChar w:fldCharType="begin"/>
                    </w:r>
                    <w:r>
                      <w:rPr>
                        <w:rFonts w:ascii="Times New Roman"/>
                        <w:sz w:val="20"/>
                      </w:rPr>
                      <w:instrText xml:space="preserve"> PAGE </w:instrText>
                    </w:r>
                    <w:r>
                      <w:fldChar w:fldCharType="separate"/>
                    </w:r>
                    <w:r w:rsidR="0047393E">
                      <w:rPr>
                        <w:rFonts w:ascii="Times New Roman"/>
                        <w:noProof/>
                        <w:sz w:val="20"/>
                      </w:rPr>
                      <w:t>13</w:t>
                    </w:r>
                    <w:r>
                      <w:fldChar w:fldCharType="end"/>
                    </w:r>
                    <w:r w:rsidR="00A04EBB">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93FB7" w14:textId="77777777" w:rsidR="00E53FDC" w:rsidRDefault="00E53FDC">
      <w:r>
        <w:separator/>
      </w:r>
    </w:p>
  </w:footnote>
  <w:footnote w:type="continuationSeparator" w:id="0">
    <w:p w14:paraId="40317189" w14:textId="77777777" w:rsidR="00E53FDC" w:rsidRDefault="00E53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C4541"/>
    <w:multiLevelType w:val="hybridMultilevel"/>
    <w:tmpl w:val="1DDCE14E"/>
    <w:lvl w:ilvl="0" w:tplc="23467FA8">
      <w:numFmt w:val="bullet"/>
      <w:lvlText w:val=""/>
      <w:lvlJc w:val="left"/>
      <w:pPr>
        <w:ind w:left="383" w:hanging="284"/>
      </w:pPr>
      <w:rPr>
        <w:rFonts w:ascii="Symbol" w:eastAsia="Symbol" w:hAnsi="Symbol" w:cs="Symbol" w:hint="default"/>
        <w:w w:val="100"/>
        <w:sz w:val="24"/>
        <w:szCs w:val="24"/>
        <w:lang w:val="en-CA" w:eastAsia="en-CA" w:bidi="en-CA"/>
      </w:rPr>
    </w:lvl>
    <w:lvl w:ilvl="1" w:tplc="F39075E4">
      <w:numFmt w:val="bullet"/>
      <w:lvlText w:val=""/>
      <w:lvlJc w:val="left"/>
      <w:pPr>
        <w:ind w:left="666" w:hanging="284"/>
      </w:pPr>
      <w:rPr>
        <w:rFonts w:ascii="Wingdings" w:eastAsia="Wingdings" w:hAnsi="Wingdings" w:cs="Wingdings" w:hint="default"/>
        <w:w w:val="100"/>
        <w:sz w:val="22"/>
        <w:szCs w:val="22"/>
        <w:lang w:val="en-CA" w:eastAsia="en-CA" w:bidi="en-CA"/>
      </w:rPr>
    </w:lvl>
    <w:lvl w:ilvl="2" w:tplc="3ED840B6">
      <w:numFmt w:val="bullet"/>
      <w:lvlText w:val=""/>
      <w:lvlJc w:val="left"/>
      <w:pPr>
        <w:ind w:left="952" w:hanging="286"/>
      </w:pPr>
      <w:rPr>
        <w:rFonts w:ascii="Symbol" w:eastAsia="Symbol" w:hAnsi="Symbol" w:cs="Symbol" w:hint="default"/>
        <w:w w:val="100"/>
        <w:sz w:val="24"/>
        <w:szCs w:val="24"/>
        <w:lang w:val="en-CA" w:eastAsia="en-CA" w:bidi="en-CA"/>
      </w:rPr>
    </w:lvl>
    <w:lvl w:ilvl="3" w:tplc="085C1E70">
      <w:numFmt w:val="bullet"/>
      <w:lvlText w:val="•"/>
      <w:lvlJc w:val="left"/>
      <w:pPr>
        <w:ind w:left="2062" w:hanging="286"/>
      </w:pPr>
      <w:rPr>
        <w:rFonts w:hint="default"/>
        <w:lang w:val="en-CA" w:eastAsia="en-CA" w:bidi="en-CA"/>
      </w:rPr>
    </w:lvl>
    <w:lvl w:ilvl="4" w:tplc="376C8EF8">
      <w:numFmt w:val="bullet"/>
      <w:lvlText w:val="•"/>
      <w:lvlJc w:val="left"/>
      <w:pPr>
        <w:ind w:left="3165" w:hanging="286"/>
      </w:pPr>
      <w:rPr>
        <w:rFonts w:hint="default"/>
        <w:lang w:val="en-CA" w:eastAsia="en-CA" w:bidi="en-CA"/>
      </w:rPr>
    </w:lvl>
    <w:lvl w:ilvl="5" w:tplc="2CC4BB0C">
      <w:numFmt w:val="bullet"/>
      <w:lvlText w:val="•"/>
      <w:lvlJc w:val="left"/>
      <w:pPr>
        <w:ind w:left="4267" w:hanging="286"/>
      </w:pPr>
      <w:rPr>
        <w:rFonts w:hint="default"/>
        <w:lang w:val="en-CA" w:eastAsia="en-CA" w:bidi="en-CA"/>
      </w:rPr>
    </w:lvl>
    <w:lvl w:ilvl="6" w:tplc="58C27410">
      <w:numFmt w:val="bullet"/>
      <w:lvlText w:val="•"/>
      <w:lvlJc w:val="left"/>
      <w:pPr>
        <w:ind w:left="5370" w:hanging="286"/>
      </w:pPr>
      <w:rPr>
        <w:rFonts w:hint="default"/>
        <w:lang w:val="en-CA" w:eastAsia="en-CA" w:bidi="en-CA"/>
      </w:rPr>
    </w:lvl>
    <w:lvl w:ilvl="7" w:tplc="00B47A00">
      <w:numFmt w:val="bullet"/>
      <w:lvlText w:val="•"/>
      <w:lvlJc w:val="left"/>
      <w:pPr>
        <w:ind w:left="6472" w:hanging="286"/>
      </w:pPr>
      <w:rPr>
        <w:rFonts w:hint="default"/>
        <w:lang w:val="en-CA" w:eastAsia="en-CA" w:bidi="en-CA"/>
      </w:rPr>
    </w:lvl>
    <w:lvl w:ilvl="8" w:tplc="AF0A85B0">
      <w:numFmt w:val="bullet"/>
      <w:lvlText w:val="•"/>
      <w:lvlJc w:val="left"/>
      <w:pPr>
        <w:ind w:left="7575" w:hanging="286"/>
      </w:pPr>
      <w:rPr>
        <w:rFonts w:hint="default"/>
        <w:lang w:val="en-CA" w:eastAsia="en-CA" w:bidi="en-CA"/>
      </w:rPr>
    </w:lvl>
  </w:abstractNum>
  <w:num w:numId="1" w16cid:durableId="1066488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12E"/>
    <w:rsid w:val="000305AF"/>
    <w:rsid w:val="0003636A"/>
    <w:rsid w:val="00071618"/>
    <w:rsid w:val="000737E8"/>
    <w:rsid w:val="000808CE"/>
    <w:rsid w:val="000A6A4C"/>
    <w:rsid w:val="000E64AD"/>
    <w:rsid w:val="000F2B4C"/>
    <w:rsid w:val="001026BB"/>
    <w:rsid w:val="00106DFB"/>
    <w:rsid w:val="001208EE"/>
    <w:rsid w:val="00121A73"/>
    <w:rsid w:val="0013736C"/>
    <w:rsid w:val="001519FE"/>
    <w:rsid w:val="001E1D21"/>
    <w:rsid w:val="001F6762"/>
    <w:rsid w:val="00203701"/>
    <w:rsid w:val="0021161E"/>
    <w:rsid w:val="002169B7"/>
    <w:rsid w:val="00217176"/>
    <w:rsid w:val="00244F6B"/>
    <w:rsid w:val="00263A25"/>
    <w:rsid w:val="00270308"/>
    <w:rsid w:val="0027561D"/>
    <w:rsid w:val="002A10F3"/>
    <w:rsid w:val="002B7D35"/>
    <w:rsid w:val="002F754B"/>
    <w:rsid w:val="0030025B"/>
    <w:rsid w:val="003A16C0"/>
    <w:rsid w:val="003E42C5"/>
    <w:rsid w:val="003E4610"/>
    <w:rsid w:val="003E77F1"/>
    <w:rsid w:val="00416155"/>
    <w:rsid w:val="004336C2"/>
    <w:rsid w:val="00472C39"/>
    <w:rsid w:val="0047393E"/>
    <w:rsid w:val="004C4A1B"/>
    <w:rsid w:val="00504216"/>
    <w:rsid w:val="005072A7"/>
    <w:rsid w:val="00507A76"/>
    <w:rsid w:val="0053656C"/>
    <w:rsid w:val="0054209B"/>
    <w:rsid w:val="00560E3A"/>
    <w:rsid w:val="00567AEC"/>
    <w:rsid w:val="00577A95"/>
    <w:rsid w:val="005834A0"/>
    <w:rsid w:val="005A7302"/>
    <w:rsid w:val="005C15D0"/>
    <w:rsid w:val="005D513F"/>
    <w:rsid w:val="006251A6"/>
    <w:rsid w:val="006323DE"/>
    <w:rsid w:val="006359AD"/>
    <w:rsid w:val="00652473"/>
    <w:rsid w:val="006720C5"/>
    <w:rsid w:val="006746E2"/>
    <w:rsid w:val="00681AA3"/>
    <w:rsid w:val="0069579F"/>
    <w:rsid w:val="006B0DC4"/>
    <w:rsid w:val="006C500C"/>
    <w:rsid w:val="006C5FCE"/>
    <w:rsid w:val="007079D1"/>
    <w:rsid w:val="00723707"/>
    <w:rsid w:val="00754520"/>
    <w:rsid w:val="00756DE5"/>
    <w:rsid w:val="007621FA"/>
    <w:rsid w:val="007628E7"/>
    <w:rsid w:val="0078012E"/>
    <w:rsid w:val="00785FF1"/>
    <w:rsid w:val="0080639A"/>
    <w:rsid w:val="00844ED1"/>
    <w:rsid w:val="00854911"/>
    <w:rsid w:val="008561C6"/>
    <w:rsid w:val="008836B9"/>
    <w:rsid w:val="008A7F67"/>
    <w:rsid w:val="008C1B95"/>
    <w:rsid w:val="008D6B35"/>
    <w:rsid w:val="00906884"/>
    <w:rsid w:val="00911D49"/>
    <w:rsid w:val="00915EF3"/>
    <w:rsid w:val="009343FB"/>
    <w:rsid w:val="00991014"/>
    <w:rsid w:val="009A7870"/>
    <w:rsid w:val="009B4A7F"/>
    <w:rsid w:val="009C1375"/>
    <w:rsid w:val="009D39A8"/>
    <w:rsid w:val="009E20F7"/>
    <w:rsid w:val="009E2815"/>
    <w:rsid w:val="009F5032"/>
    <w:rsid w:val="00A04EBB"/>
    <w:rsid w:val="00A157FF"/>
    <w:rsid w:val="00A40578"/>
    <w:rsid w:val="00A422AF"/>
    <w:rsid w:val="00A61696"/>
    <w:rsid w:val="00A72A17"/>
    <w:rsid w:val="00A7316C"/>
    <w:rsid w:val="00A771B9"/>
    <w:rsid w:val="00A97576"/>
    <w:rsid w:val="00AD297F"/>
    <w:rsid w:val="00AF57B3"/>
    <w:rsid w:val="00B00B85"/>
    <w:rsid w:val="00B1450C"/>
    <w:rsid w:val="00B15629"/>
    <w:rsid w:val="00B25461"/>
    <w:rsid w:val="00B276AD"/>
    <w:rsid w:val="00B32D40"/>
    <w:rsid w:val="00B37B2A"/>
    <w:rsid w:val="00B62F5E"/>
    <w:rsid w:val="00BC6F0A"/>
    <w:rsid w:val="00BF2BE2"/>
    <w:rsid w:val="00C11506"/>
    <w:rsid w:val="00C162B6"/>
    <w:rsid w:val="00C1665E"/>
    <w:rsid w:val="00C53672"/>
    <w:rsid w:val="00C54975"/>
    <w:rsid w:val="00C62646"/>
    <w:rsid w:val="00C64C4A"/>
    <w:rsid w:val="00C87D54"/>
    <w:rsid w:val="00CA0052"/>
    <w:rsid w:val="00CA4C0D"/>
    <w:rsid w:val="00CC7179"/>
    <w:rsid w:val="00CF33AF"/>
    <w:rsid w:val="00D23B87"/>
    <w:rsid w:val="00D42343"/>
    <w:rsid w:val="00D505C1"/>
    <w:rsid w:val="00D606D4"/>
    <w:rsid w:val="00D96131"/>
    <w:rsid w:val="00DA5AC3"/>
    <w:rsid w:val="00DA689E"/>
    <w:rsid w:val="00DF6543"/>
    <w:rsid w:val="00DF7738"/>
    <w:rsid w:val="00E10965"/>
    <w:rsid w:val="00E13071"/>
    <w:rsid w:val="00E31633"/>
    <w:rsid w:val="00E47F74"/>
    <w:rsid w:val="00E53731"/>
    <w:rsid w:val="00E53FDC"/>
    <w:rsid w:val="00E86141"/>
    <w:rsid w:val="00E940F2"/>
    <w:rsid w:val="00EA4DD5"/>
    <w:rsid w:val="00ED1552"/>
    <w:rsid w:val="00EE0122"/>
    <w:rsid w:val="00EF4618"/>
    <w:rsid w:val="00EF596D"/>
    <w:rsid w:val="00F0195C"/>
    <w:rsid w:val="00F447F9"/>
    <w:rsid w:val="00F449B2"/>
    <w:rsid w:val="00F951A9"/>
    <w:rsid w:val="00FD1453"/>
    <w:rsid w:val="00FE1184"/>
    <w:rsid w:val="00FF3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095781"/>
  <w15:docId w15:val="{2E5CFBD3-2800-49C0-91AB-A733BC86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lang w:val="en-CA" w:eastAsia="en-CA" w:bidi="en-CA"/>
    </w:rPr>
  </w:style>
  <w:style w:type="paragraph" w:styleId="Heading1">
    <w:name w:val="heading 1"/>
    <w:basedOn w:val="Normal"/>
    <w:uiPriority w:val="1"/>
    <w:qFormat/>
    <w:pPr>
      <w:spacing w:before="78"/>
      <w:ind w:left="100"/>
      <w:outlineLvl w:val="0"/>
    </w:pPr>
    <w:rPr>
      <w:b/>
      <w:bCs/>
      <w:sz w:val="28"/>
      <w:szCs w:val="28"/>
    </w:rPr>
  </w:style>
  <w:style w:type="paragraph" w:styleId="Heading2">
    <w:name w:val="heading 2"/>
    <w:basedOn w:val="Normal"/>
    <w:uiPriority w:val="1"/>
    <w:qFormat/>
    <w:pPr>
      <w:ind w:left="100"/>
      <w:outlineLvl w:val="1"/>
    </w:pPr>
    <w:rPr>
      <w:b/>
      <w:bCs/>
      <w:i/>
      <w:sz w:val="25"/>
      <w:szCs w:val="25"/>
    </w:rPr>
  </w:style>
  <w:style w:type="paragraph" w:styleId="Heading3">
    <w:name w:val="heading 3"/>
    <w:basedOn w:val="Normal"/>
    <w:uiPriority w:val="1"/>
    <w:qFormat/>
    <w:pPr>
      <w:spacing w:before="79"/>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83" w:hanging="284"/>
    </w:pPr>
  </w:style>
  <w:style w:type="paragraph" w:customStyle="1" w:styleId="TableParagraph">
    <w:name w:val="Table Paragraph"/>
    <w:basedOn w:val="Normal"/>
    <w:uiPriority w:val="1"/>
    <w:qFormat/>
    <w:pPr>
      <w:spacing w:before="119"/>
    </w:pPr>
  </w:style>
  <w:style w:type="character" w:styleId="CommentReference">
    <w:name w:val="annotation reference"/>
    <w:basedOn w:val="DefaultParagraphFont"/>
    <w:uiPriority w:val="99"/>
    <w:semiHidden/>
    <w:unhideWhenUsed/>
    <w:rsid w:val="00CA4C0D"/>
    <w:rPr>
      <w:sz w:val="16"/>
      <w:szCs w:val="16"/>
    </w:rPr>
  </w:style>
  <w:style w:type="paragraph" w:styleId="CommentText">
    <w:name w:val="annotation text"/>
    <w:basedOn w:val="Normal"/>
    <w:link w:val="CommentTextChar"/>
    <w:uiPriority w:val="99"/>
    <w:unhideWhenUsed/>
    <w:rsid w:val="00CA4C0D"/>
    <w:rPr>
      <w:sz w:val="20"/>
      <w:szCs w:val="20"/>
    </w:rPr>
  </w:style>
  <w:style w:type="character" w:customStyle="1" w:styleId="CommentTextChar">
    <w:name w:val="Comment Text Char"/>
    <w:basedOn w:val="DefaultParagraphFont"/>
    <w:link w:val="CommentText"/>
    <w:uiPriority w:val="99"/>
    <w:rsid w:val="00CA4C0D"/>
    <w:rPr>
      <w:rFonts w:ascii="Garamond" w:eastAsia="Garamond" w:hAnsi="Garamond" w:cs="Garamond"/>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CA4C0D"/>
    <w:rPr>
      <w:b/>
      <w:bCs/>
    </w:rPr>
  </w:style>
  <w:style w:type="character" w:customStyle="1" w:styleId="CommentSubjectChar">
    <w:name w:val="Comment Subject Char"/>
    <w:basedOn w:val="CommentTextChar"/>
    <w:link w:val="CommentSubject"/>
    <w:uiPriority w:val="99"/>
    <w:semiHidden/>
    <w:rsid w:val="00CA4C0D"/>
    <w:rPr>
      <w:rFonts w:ascii="Garamond" w:eastAsia="Garamond" w:hAnsi="Garamond" w:cs="Garamond"/>
      <w:b/>
      <w:bCs/>
      <w:sz w:val="20"/>
      <w:szCs w:val="20"/>
      <w:lang w:val="en-CA" w:eastAsia="en-CA" w:bidi="en-CA"/>
    </w:rPr>
  </w:style>
  <w:style w:type="paragraph" w:styleId="BalloonText">
    <w:name w:val="Balloon Text"/>
    <w:basedOn w:val="Normal"/>
    <w:link w:val="BalloonTextChar"/>
    <w:uiPriority w:val="99"/>
    <w:semiHidden/>
    <w:unhideWhenUsed/>
    <w:rsid w:val="00CA4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C0D"/>
    <w:rPr>
      <w:rFonts w:ascii="Segoe UI" w:eastAsia="Garamond" w:hAnsi="Segoe UI" w:cs="Segoe UI"/>
      <w:sz w:val="18"/>
      <w:szCs w:val="18"/>
      <w:lang w:val="en-CA" w:eastAsia="en-CA" w:bidi="en-CA"/>
    </w:rPr>
  </w:style>
  <w:style w:type="character" w:styleId="Emphasis">
    <w:name w:val="Emphasis"/>
    <w:basedOn w:val="DefaultParagraphFont"/>
    <w:uiPriority w:val="20"/>
    <w:qFormat/>
    <w:rsid w:val="00CA4C0D"/>
    <w:rPr>
      <w:i/>
      <w:iCs/>
    </w:rPr>
  </w:style>
  <w:style w:type="paragraph" w:styleId="Header">
    <w:name w:val="header"/>
    <w:basedOn w:val="Normal"/>
    <w:link w:val="HeaderChar"/>
    <w:uiPriority w:val="99"/>
    <w:unhideWhenUsed/>
    <w:rsid w:val="00A04EBB"/>
    <w:pPr>
      <w:tabs>
        <w:tab w:val="center" w:pos="4680"/>
        <w:tab w:val="right" w:pos="9360"/>
      </w:tabs>
    </w:pPr>
  </w:style>
  <w:style w:type="character" w:customStyle="1" w:styleId="HeaderChar">
    <w:name w:val="Header Char"/>
    <w:basedOn w:val="DefaultParagraphFont"/>
    <w:link w:val="Header"/>
    <w:uiPriority w:val="99"/>
    <w:rsid w:val="00A04EBB"/>
    <w:rPr>
      <w:rFonts w:ascii="Garamond" w:eastAsia="Garamond" w:hAnsi="Garamond" w:cs="Garamond"/>
      <w:lang w:val="en-CA" w:eastAsia="en-CA" w:bidi="en-CA"/>
    </w:rPr>
  </w:style>
  <w:style w:type="paragraph" w:styleId="Footer">
    <w:name w:val="footer"/>
    <w:basedOn w:val="Normal"/>
    <w:link w:val="FooterChar"/>
    <w:uiPriority w:val="99"/>
    <w:unhideWhenUsed/>
    <w:rsid w:val="00A04EBB"/>
    <w:pPr>
      <w:tabs>
        <w:tab w:val="center" w:pos="4680"/>
        <w:tab w:val="right" w:pos="9360"/>
      </w:tabs>
    </w:pPr>
  </w:style>
  <w:style w:type="character" w:customStyle="1" w:styleId="FooterChar">
    <w:name w:val="Footer Char"/>
    <w:basedOn w:val="DefaultParagraphFont"/>
    <w:link w:val="Footer"/>
    <w:uiPriority w:val="99"/>
    <w:rsid w:val="00A04EBB"/>
    <w:rPr>
      <w:rFonts w:ascii="Garamond" w:eastAsia="Garamond" w:hAnsi="Garamond" w:cs="Garamond"/>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03628">
      <w:bodyDiv w:val="1"/>
      <w:marLeft w:val="0"/>
      <w:marRight w:val="0"/>
      <w:marTop w:val="0"/>
      <w:marBottom w:val="0"/>
      <w:divBdr>
        <w:top w:val="none" w:sz="0" w:space="0" w:color="auto"/>
        <w:left w:val="none" w:sz="0" w:space="0" w:color="auto"/>
        <w:bottom w:val="none" w:sz="0" w:space="0" w:color="auto"/>
        <w:right w:val="none" w:sz="0" w:space="0" w:color="auto"/>
      </w:divBdr>
    </w:div>
    <w:div w:id="1643653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acw.aonad.ca\DFSCA\AH\TOR\ACWFILES\TEAMS\Investment\Clients\Capital%20Market%20Commentary%20-%20Canada\2023\Q4\Final\V_Canada%20CME%20Q4%202023%20-%20Final.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onnet.aon.net\NAFS\Canada\Regina\NAREGFAPP001\data\JPM\Clients\U%20of%20Regina%20Endowment\06_Projects\2024\2023%20-%20Endowment%20Returns%20and%20mix%20chart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onnet.aon.net\NAFS\Canada\Regina\NAREGFAPP001\data\JPM\Clients\U%20of%20Regina%20Endowment\06_Projects\2024\2023%20-%20Endowment%20Returns%20and%20mix%20char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100" b="1"/>
            </a:pPr>
            <a:r>
              <a:rPr lang="en-US" sz="1100" b="1"/>
              <a:t>CANADIAN FEDERAL YIELD CURVE</a:t>
            </a:r>
          </a:p>
        </c:rich>
      </c:tx>
      <c:layout>
        <c:manualLayout>
          <c:xMode val="edge"/>
          <c:yMode val="edge"/>
          <c:x val="1.6666666666666666E-3"/>
          <c:y val="0"/>
        </c:manualLayout>
      </c:layout>
      <c:overlay val="0"/>
      <c:spPr>
        <a:noFill/>
        <a:ln w="25400">
          <a:noFill/>
        </a:ln>
      </c:spPr>
    </c:title>
    <c:autoTitleDeleted val="0"/>
    <c:plotArea>
      <c:layout>
        <c:manualLayout>
          <c:layoutTarget val="inner"/>
          <c:xMode val="edge"/>
          <c:yMode val="edge"/>
          <c:x val="0.10161923525977817"/>
          <c:y val="0.12137305068226119"/>
          <c:w val="0.89024759405074361"/>
          <c:h val="0.7076195683872849"/>
        </c:manualLayout>
      </c:layout>
      <c:scatterChart>
        <c:scatterStyle val="smoothMarker"/>
        <c:varyColors val="0"/>
        <c:ser>
          <c:idx val="0"/>
          <c:order val="0"/>
          <c:tx>
            <c:strRef>
              <c:f>'Bloomberg Yield Curve'!$N$1</c:f>
              <c:strCache>
                <c:ptCount val="1"/>
                <c:pt idx="0">
                  <c:v>12-29-2023</c:v>
                </c:pt>
              </c:strCache>
            </c:strRef>
          </c:tx>
          <c:spPr>
            <a:ln w="31750">
              <a:solidFill>
                <a:srgbClr val="73E2D7"/>
              </a:solidFill>
            </a:ln>
          </c:spPr>
          <c:marker>
            <c:symbol val="none"/>
          </c:marker>
          <c:xVal>
            <c:numRef>
              <c:f>'Bloomberg Yield Curve'!$M$2:$M$12</c:f>
              <c:numCache>
                <c:formatCode>General</c:formatCode>
                <c:ptCount val="11"/>
                <c:pt idx="0">
                  <c:v>0.25</c:v>
                </c:pt>
                <c:pt idx="1">
                  <c:v>0.5</c:v>
                </c:pt>
                <c:pt idx="2">
                  <c:v>1</c:v>
                </c:pt>
                <c:pt idx="3">
                  <c:v>2</c:v>
                </c:pt>
                <c:pt idx="4">
                  <c:v>3</c:v>
                </c:pt>
                <c:pt idx="5">
                  <c:v>4</c:v>
                </c:pt>
                <c:pt idx="6">
                  <c:v>5</c:v>
                </c:pt>
                <c:pt idx="7">
                  <c:v>7</c:v>
                </c:pt>
                <c:pt idx="8">
                  <c:v>10</c:v>
                </c:pt>
                <c:pt idx="9">
                  <c:v>20</c:v>
                </c:pt>
                <c:pt idx="10">
                  <c:v>30</c:v>
                </c:pt>
              </c:numCache>
            </c:numRef>
          </c:xVal>
          <c:yVal>
            <c:numRef>
              <c:f>'Bloomberg Yield Curve'!$N$2:$N$12</c:f>
              <c:numCache>
                <c:formatCode>0.00%</c:formatCode>
                <c:ptCount val="11"/>
                <c:pt idx="0">
                  <c:v>5.0519999999999995E-2</c:v>
                </c:pt>
                <c:pt idx="1">
                  <c:v>4.9919999999999999E-2</c:v>
                </c:pt>
                <c:pt idx="2">
                  <c:v>4.6710000000000002E-2</c:v>
                </c:pt>
                <c:pt idx="3">
                  <c:v>3.8900000000000004E-2</c:v>
                </c:pt>
                <c:pt idx="4">
                  <c:v>3.4810000000000001E-2</c:v>
                </c:pt>
                <c:pt idx="5">
                  <c:v>3.3230000000000003E-2</c:v>
                </c:pt>
                <c:pt idx="6">
                  <c:v>3.175E-2</c:v>
                </c:pt>
                <c:pt idx="7">
                  <c:v>3.0960000000000001E-2</c:v>
                </c:pt>
                <c:pt idx="8">
                  <c:v>3.1099999999999999E-2</c:v>
                </c:pt>
                <c:pt idx="9">
                  <c:v>3.116E-2</c:v>
                </c:pt>
                <c:pt idx="10">
                  <c:v>3.0329999999999999E-2</c:v>
                </c:pt>
              </c:numCache>
            </c:numRef>
          </c:yVal>
          <c:smooth val="1"/>
          <c:extLst>
            <c:ext xmlns:c16="http://schemas.microsoft.com/office/drawing/2014/chart" uri="{C3380CC4-5D6E-409C-BE32-E72D297353CC}">
              <c16:uniqueId val="{00000000-869A-4AF6-A6E7-31B445EA7709}"/>
            </c:ext>
          </c:extLst>
        </c:ser>
        <c:ser>
          <c:idx val="1"/>
          <c:order val="1"/>
          <c:tx>
            <c:strRef>
              <c:f>'Bloomberg Yield Curve'!$O$1</c:f>
              <c:strCache>
                <c:ptCount val="1"/>
                <c:pt idx="0">
                  <c:v>09-29-2023</c:v>
                </c:pt>
              </c:strCache>
            </c:strRef>
          </c:tx>
          <c:spPr>
            <a:ln w="31750">
              <a:solidFill>
                <a:srgbClr val="0084BB"/>
              </a:solidFill>
            </a:ln>
          </c:spPr>
          <c:marker>
            <c:symbol val="none"/>
          </c:marker>
          <c:xVal>
            <c:numRef>
              <c:f>'Bloomberg Yield Curve'!$M$2:$M$12</c:f>
              <c:numCache>
                <c:formatCode>General</c:formatCode>
                <c:ptCount val="11"/>
                <c:pt idx="0">
                  <c:v>0.25</c:v>
                </c:pt>
                <c:pt idx="1">
                  <c:v>0.5</c:v>
                </c:pt>
                <c:pt idx="2">
                  <c:v>1</c:v>
                </c:pt>
                <c:pt idx="3">
                  <c:v>2</c:v>
                </c:pt>
                <c:pt idx="4">
                  <c:v>3</c:v>
                </c:pt>
                <c:pt idx="5">
                  <c:v>4</c:v>
                </c:pt>
                <c:pt idx="6">
                  <c:v>5</c:v>
                </c:pt>
                <c:pt idx="7">
                  <c:v>7</c:v>
                </c:pt>
                <c:pt idx="8">
                  <c:v>10</c:v>
                </c:pt>
                <c:pt idx="9">
                  <c:v>20</c:v>
                </c:pt>
                <c:pt idx="10">
                  <c:v>30</c:v>
                </c:pt>
              </c:numCache>
            </c:numRef>
          </c:xVal>
          <c:yVal>
            <c:numRef>
              <c:f>'Bloomberg Yield Curve'!$O$2:$O$12</c:f>
              <c:numCache>
                <c:formatCode>0.00%</c:formatCode>
                <c:ptCount val="11"/>
                <c:pt idx="0">
                  <c:v>5.1249999999999997E-2</c:v>
                </c:pt>
                <c:pt idx="1">
                  <c:v>5.2140000000000006E-2</c:v>
                </c:pt>
                <c:pt idx="2">
                  <c:v>5.3040000000000004E-2</c:v>
                </c:pt>
                <c:pt idx="3">
                  <c:v>4.8730000000000002E-2</c:v>
                </c:pt>
                <c:pt idx="4">
                  <c:v>4.5170000000000002E-2</c:v>
                </c:pt>
                <c:pt idx="5">
                  <c:v>4.3880000000000002E-2</c:v>
                </c:pt>
                <c:pt idx="6">
                  <c:v>4.249E-2</c:v>
                </c:pt>
                <c:pt idx="7">
                  <c:v>4.1059999999999999E-2</c:v>
                </c:pt>
                <c:pt idx="8">
                  <c:v>4.0259999999999997E-2</c:v>
                </c:pt>
                <c:pt idx="9">
                  <c:v>3.9759999999999997E-2</c:v>
                </c:pt>
                <c:pt idx="10">
                  <c:v>3.8089999999999999E-2</c:v>
                </c:pt>
              </c:numCache>
            </c:numRef>
          </c:yVal>
          <c:smooth val="1"/>
          <c:extLst>
            <c:ext xmlns:c16="http://schemas.microsoft.com/office/drawing/2014/chart" uri="{C3380CC4-5D6E-409C-BE32-E72D297353CC}">
              <c16:uniqueId val="{00000001-869A-4AF6-A6E7-31B445EA7709}"/>
            </c:ext>
          </c:extLst>
        </c:ser>
        <c:ser>
          <c:idx val="2"/>
          <c:order val="2"/>
          <c:tx>
            <c:strRef>
              <c:f>'Bloomberg Yield Curve'!$P$1</c:f>
              <c:strCache>
                <c:ptCount val="1"/>
                <c:pt idx="0">
                  <c:v>06-30-2023</c:v>
                </c:pt>
              </c:strCache>
            </c:strRef>
          </c:tx>
          <c:spPr>
            <a:ln w="31750">
              <a:solidFill>
                <a:srgbClr val="003F72"/>
              </a:solidFill>
            </a:ln>
          </c:spPr>
          <c:marker>
            <c:symbol val="none"/>
          </c:marker>
          <c:xVal>
            <c:numRef>
              <c:f>'Bloomberg Yield Curve'!$M$2:$M$12</c:f>
              <c:numCache>
                <c:formatCode>General</c:formatCode>
                <c:ptCount val="11"/>
                <c:pt idx="0">
                  <c:v>0.25</c:v>
                </c:pt>
                <c:pt idx="1">
                  <c:v>0.5</c:v>
                </c:pt>
                <c:pt idx="2">
                  <c:v>1</c:v>
                </c:pt>
                <c:pt idx="3">
                  <c:v>2</c:v>
                </c:pt>
                <c:pt idx="4">
                  <c:v>3</c:v>
                </c:pt>
                <c:pt idx="5">
                  <c:v>4</c:v>
                </c:pt>
                <c:pt idx="6">
                  <c:v>5</c:v>
                </c:pt>
                <c:pt idx="7">
                  <c:v>7</c:v>
                </c:pt>
                <c:pt idx="8">
                  <c:v>10</c:v>
                </c:pt>
                <c:pt idx="9">
                  <c:v>20</c:v>
                </c:pt>
                <c:pt idx="10">
                  <c:v>30</c:v>
                </c:pt>
              </c:numCache>
            </c:numRef>
          </c:xVal>
          <c:yVal>
            <c:numRef>
              <c:f>'Bloomberg Yield Curve'!$P$2:$P$12</c:f>
              <c:numCache>
                <c:formatCode>0.00%</c:formatCode>
                <c:ptCount val="11"/>
                <c:pt idx="0">
                  <c:v>4.922E-2</c:v>
                </c:pt>
                <c:pt idx="1">
                  <c:v>5.0590000000000003E-2</c:v>
                </c:pt>
                <c:pt idx="2">
                  <c:v>5.1470000000000002E-2</c:v>
                </c:pt>
                <c:pt idx="3">
                  <c:v>4.5850000000000002E-2</c:v>
                </c:pt>
                <c:pt idx="4">
                  <c:v>4.2160000000000003E-2</c:v>
                </c:pt>
                <c:pt idx="5">
                  <c:v>3.875E-2</c:v>
                </c:pt>
                <c:pt idx="6">
                  <c:v>3.6859999999999997E-2</c:v>
                </c:pt>
                <c:pt idx="7">
                  <c:v>3.3869999999999997E-2</c:v>
                </c:pt>
                <c:pt idx="8">
                  <c:v>3.2690000000000004E-2</c:v>
                </c:pt>
                <c:pt idx="9">
                  <c:v>3.2259999999999997E-2</c:v>
                </c:pt>
                <c:pt idx="10">
                  <c:v>3.0929999999999999E-2</c:v>
                </c:pt>
              </c:numCache>
            </c:numRef>
          </c:yVal>
          <c:smooth val="1"/>
          <c:extLst>
            <c:ext xmlns:c16="http://schemas.microsoft.com/office/drawing/2014/chart" uri="{C3380CC4-5D6E-409C-BE32-E72D297353CC}">
              <c16:uniqueId val="{00000002-869A-4AF6-A6E7-31B445EA7709}"/>
            </c:ext>
          </c:extLst>
        </c:ser>
        <c:ser>
          <c:idx val="3"/>
          <c:order val="3"/>
          <c:tx>
            <c:strRef>
              <c:f>'Bloomberg Yield Curve'!$Q$1</c:f>
              <c:strCache>
                <c:ptCount val="1"/>
                <c:pt idx="0">
                  <c:v>03-31-2023</c:v>
                </c:pt>
              </c:strCache>
            </c:strRef>
          </c:tx>
          <c:spPr>
            <a:ln w="31750">
              <a:solidFill>
                <a:srgbClr val="6E027F"/>
              </a:solidFill>
            </a:ln>
          </c:spPr>
          <c:marker>
            <c:symbol val="none"/>
          </c:marker>
          <c:xVal>
            <c:numRef>
              <c:f>'Bloomberg Yield Curve'!$M$2:$M$12</c:f>
              <c:numCache>
                <c:formatCode>General</c:formatCode>
                <c:ptCount val="11"/>
                <c:pt idx="0">
                  <c:v>0.25</c:v>
                </c:pt>
                <c:pt idx="1">
                  <c:v>0.5</c:v>
                </c:pt>
                <c:pt idx="2">
                  <c:v>1</c:v>
                </c:pt>
                <c:pt idx="3">
                  <c:v>2</c:v>
                </c:pt>
                <c:pt idx="4">
                  <c:v>3</c:v>
                </c:pt>
                <c:pt idx="5">
                  <c:v>4</c:v>
                </c:pt>
                <c:pt idx="6">
                  <c:v>5</c:v>
                </c:pt>
                <c:pt idx="7">
                  <c:v>7</c:v>
                </c:pt>
                <c:pt idx="8">
                  <c:v>10</c:v>
                </c:pt>
                <c:pt idx="9">
                  <c:v>20</c:v>
                </c:pt>
                <c:pt idx="10">
                  <c:v>30</c:v>
                </c:pt>
              </c:numCache>
            </c:numRef>
          </c:xVal>
          <c:yVal>
            <c:numRef>
              <c:f>'Bloomberg Yield Curve'!$Q$2:$Q$12</c:f>
              <c:numCache>
                <c:formatCode>0.00%</c:formatCode>
                <c:ptCount val="11"/>
                <c:pt idx="0">
                  <c:v>4.4039999999999996E-2</c:v>
                </c:pt>
                <c:pt idx="1">
                  <c:v>4.4509999999999994E-2</c:v>
                </c:pt>
                <c:pt idx="2">
                  <c:v>4.4069999999999998E-2</c:v>
                </c:pt>
                <c:pt idx="3">
                  <c:v>3.737E-2</c:v>
                </c:pt>
                <c:pt idx="4">
                  <c:v>3.5089999999999996E-2</c:v>
                </c:pt>
                <c:pt idx="5">
                  <c:v>3.143E-2</c:v>
                </c:pt>
                <c:pt idx="6">
                  <c:v>3.0190000000000002E-2</c:v>
                </c:pt>
                <c:pt idx="7">
                  <c:v>2.8570000000000002E-2</c:v>
                </c:pt>
                <c:pt idx="8">
                  <c:v>2.8969999999999999E-2</c:v>
                </c:pt>
                <c:pt idx="9">
                  <c:v>3.0830000000000003E-2</c:v>
                </c:pt>
                <c:pt idx="10">
                  <c:v>3.0019999999999998E-2</c:v>
                </c:pt>
              </c:numCache>
            </c:numRef>
          </c:yVal>
          <c:smooth val="1"/>
          <c:extLst>
            <c:ext xmlns:c16="http://schemas.microsoft.com/office/drawing/2014/chart" uri="{C3380CC4-5D6E-409C-BE32-E72D297353CC}">
              <c16:uniqueId val="{00000003-869A-4AF6-A6E7-31B445EA7709}"/>
            </c:ext>
          </c:extLst>
        </c:ser>
        <c:ser>
          <c:idx val="4"/>
          <c:order val="4"/>
          <c:tx>
            <c:strRef>
              <c:f>'Bloomberg Yield Curve'!$R$1</c:f>
              <c:strCache>
                <c:ptCount val="1"/>
                <c:pt idx="0">
                  <c:v>12-30-2022</c:v>
                </c:pt>
              </c:strCache>
            </c:strRef>
          </c:tx>
          <c:spPr>
            <a:ln w="31750">
              <a:solidFill>
                <a:srgbClr val="EA2238"/>
              </a:solidFill>
            </a:ln>
          </c:spPr>
          <c:marker>
            <c:symbol val="none"/>
          </c:marker>
          <c:xVal>
            <c:numRef>
              <c:f>'Bloomberg Yield Curve'!$M$2:$M$12</c:f>
              <c:numCache>
                <c:formatCode>General</c:formatCode>
                <c:ptCount val="11"/>
                <c:pt idx="0">
                  <c:v>0.25</c:v>
                </c:pt>
                <c:pt idx="1">
                  <c:v>0.5</c:v>
                </c:pt>
                <c:pt idx="2">
                  <c:v>1</c:v>
                </c:pt>
                <c:pt idx="3">
                  <c:v>2</c:v>
                </c:pt>
                <c:pt idx="4">
                  <c:v>3</c:v>
                </c:pt>
                <c:pt idx="5">
                  <c:v>4</c:v>
                </c:pt>
                <c:pt idx="6">
                  <c:v>5</c:v>
                </c:pt>
                <c:pt idx="7">
                  <c:v>7</c:v>
                </c:pt>
                <c:pt idx="8">
                  <c:v>10</c:v>
                </c:pt>
                <c:pt idx="9">
                  <c:v>20</c:v>
                </c:pt>
                <c:pt idx="10">
                  <c:v>30</c:v>
                </c:pt>
              </c:numCache>
            </c:numRef>
          </c:xVal>
          <c:yVal>
            <c:numRef>
              <c:f>'Bloomberg Yield Curve'!$R$2:$R$12</c:f>
              <c:numCache>
                <c:formatCode>0.00%</c:formatCode>
                <c:ptCount val="11"/>
                <c:pt idx="0">
                  <c:v>4.2599999999999999E-2</c:v>
                </c:pt>
                <c:pt idx="1">
                  <c:v>4.4829999999999995E-2</c:v>
                </c:pt>
                <c:pt idx="2">
                  <c:v>4.6109999999999998E-2</c:v>
                </c:pt>
                <c:pt idx="3">
                  <c:v>4.054E-2</c:v>
                </c:pt>
                <c:pt idx="4">
                  <c:v>3.8109999999999998E-2</c:v>
                </c:pt>
                <c:pt idx="5">
                  <c:v>3.5900000000000001E-2</c:v>
                </c:pt>
                <c:pt idx="6">
                  <c:v>3.4110000000000001E-2</c:v>
                </c:pt>
                <c:pt idx="7">
                  <c:v>3.2530000000000003E-2</c:v>
                </c:pt>
                <c:pt idx="8">
                  <c:v>3.3000000000000002E-2</c:v>
                </c:pt>
                <c:pt idx="9">
                  <c:v>3.3739999999999999E-2</c:v>
                </c:pt>
                <c:pt idx="10">
                  <c:v>3.2770000000000001E-2</c:v>
                </c:pt>
              </c:numCache>
            </c:numRef>
          </c:yVal>
          <c:smooth val="1"/>
          <c:extLst>
            <c:ext xmlns:c16="http://schemas.microsoft.com/office/drawing/2014/chart" uri="{C3380CC4-5D6E-409C-BE32-E72D297353CC}">
              <c16:uniqueId val="{00000004-869A-4AF6-A6E7-31B445EA7709}"/>
            </c:ext>
          </c:extLst>
        </c:ser>
        <c:dLbls>
          <c:showLegendKey val="0"/>
          <c:showVal val="0"/>
          <c:showCatName val="0"/>
          <c:showSerName val="0"/>
          <c:showPercent val="0"/>
          <c:showBubbleSize val="0"/>
        </c:dLbls>
        <c:axId val="765582720"/>
        <c:axId val="786761216"/>
      </c:scatterChart>
      <c:valAx>
        <c:axId val="765582720"/>
        <c:scaling>
          <c:orientation val="minMax"/>
          <c:max val="30"/>
        </c:scaling>
        <c:delete val="0"/>
        <c:axPos val="b"/>
        <c:title>
          <c:tx>
            <c:rich>
              <a:bodyPr/>
              <a:lstStyle/>
              <a:p>
                <a:pPr>
                  <a:defRPr/>
                </a:pPr>
                <a:r>
                  <a:rPr lang="en-US"/>
                  <a:t>Maturity (Years)</a:t>
                </a:r>
              </a:p>
            </c:rich>
          </c:tx>
          <c:layout>
            <c:manualLayout>
              <c:xMode val="edge"/>
              <c:yMode val="edge"/>
              <c:x val="0.44839283126419016"/>
              <c:y val="0.92712760220040968"/>
            </c:manualLayout>
          </c:layout>
          <c:overlay val="0"/>
          <c:spPr>
            <a:noFill/>
            <a:ln w="25400">
              <a:noFill/>
            </a:ln>
          </c:spPr>
        </c:title>
        <c:numFmt formatCode="0" sourceLinked="0"/>
        <c:majorTickMark val="none"/>
        <c:minorTickMark val="none"/>
        <c:tickLblPos val="nextTo"/>
        <c:spPr>
          <a:ln>
            <a:solidFill>
              <a:srgbClr val="E5EFF0"/>
            </a:solidFill>
          </a:ln>
        </c:spPr>
        <c:txPr>
          <a:bodyPr rot="0" vert="horz"/>
          <a:lstStyle/>
          <a:p>
            <a:pPr>
              <a:defRPr/>
            </a:pPr>
            <a:endParaRPr lang="en-US"/>
          </a:p>
        </c:txPr>
        <c:crossAx val="786761216"/>
        <c:crosses val="autoZero"/>
        <c:crossBetween val="midCat"/>
      </c:valAx>
      <c:valAx>
        <c:axId val="786761216"/>
        <c:scaling>
          <c:orientation val="minMax"/>
          <c:min val="2.5000000000000005E-2"/>
        </c:scaling>
        <c:delete val="0"/>
        <c:axPos val="l"/>
        <c:numFmt formatCode="0.0%" sourceLinked="0"/>
        <c:majorTickMark val="none"/>
        <c:minorTickMark val="none"/>
        <c:tickLblPos val="nextTo"/>
        <c:spPr>
          <a:ln>
            <a:noFill/>
          </a:ln>
        </c:spPr>
        <c:txPr>
          <a:bodyPr rot="0" vert="horz"/>
          <a:lstStyle/>
          <a:p>
            <a:pPr>
              <a:defRPr/>
            </a:pPr>
            <a:endParaRPr lang="en-US"/>
          </a:p>
        </c:txPr>
        <c:crossAx val="765582720"/>
        <c:crosses val="autoZero"/>
        <c:crossBetween val="midCat"/>
      </c:valAx>
    </c:plotArea>
    <c:legend>
      <c:legendPos val="r"/>
      <c:layout>
        <c:manualLayout>
          <c:xMode val="edge"/>
          <c:yMode val="edge"/>
          <c:x val="0.58599375231470308"/>
          <c:y val="3.2276944669127117E-2"/>
          <c:w val="0.38688002189910309"/>
          <c:h val="0.25219538039154615"/>
        </c:manualLayout>
      </c:layout>
      <c:overlay val="0"/>
    </c:legend>
    <c:plotVisOnly val="1"/>
    <c:dispBlanksAs val="gap"/>
    <c:showDLblsOverMax val="0"/>
  </c:chart>
  <c:spPr>
    <a:ln>
      <a:noFill/>
    </a:ln>
  </c:spPr>
  <c:txPr>
    <a:bodyPr/>
    <a:lstStyle/>
    <a:p>
      <a:pPr>
        <a:defRPr sz="800" b="0" i="0" u="none" strike="noStrike" baseline="0">
          <a:solidFill>
            <a:srgbClr val="000000"/>
          </a:solidFill>
          <a:latin typeface="Helvetica Now Text" panose="020B0504030202020204" pitchFamily="34" charset="0"/>
          <a:ea typeface="Calibri"/>
          <a:cs typeface="Arial" panose="020B0604020202020204"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en-CA" b="1"/>
              <a:t>Investment Performance
For the Year Ended December 31, 2023</a:t>
            </a:r>
          </a:p>
        </c:rich>
      </c:tx>
      <c:layout>
        <c:manualLayout>
          <c:xMode val="edge"/>
          <c:yMode val="edge"/>
          <c:x val="0.40601989716482662"/>
          <c:y val="3.3853907512375284E-2"/>
        </c:manualLayout>
      </c:layout>
      <c:overlay val="0"/>
      <c:spPr>
        <a:noFill/>
        <a:ln w="25400">
          <a:noFill/>
        </a:ln>
      </c:spPr>
    </c:title>
    <c:autoTitleDeleted val="0"/>
    <c:plotArea>
      <c:layout>
        <c:manualLayout>
          <c:layoutTarget val="inner"/>
          <c:xMode val="edge"/>
          <c:yMode val="edge"/>
          <c:x val="0.36076311004836964"/>
          <c:y val="0.1544512216407406"/>
          <c:w val="0.58355593306347542"/>
          <c:h val="0.74763431696438765"/>
        </c:manualLayout>
      </c:layout>
      <c:barChart>
        <c:barDir val="bar"/>
        <c:grouping val="clustered"/>
        <c:varyColors val="0"/>
        <c:ser>
          <c:idx val="0"/>
          <c:order val="0"/>
          <c:tx>
            <c:strRef>
              <c:f>'Annual Returns'!$B$3</c:f>
              <c:strCache>
                <c:ptCount val="1"/>
                <c:pt idx="0">
                  <c:v>U of R</c:v>
                </c:pt>
              </c:strCache>
            </c:strRef>
          </c:tx>
          <c:spPr>
            <a:solidFill>
              <a:srgbClr val="0066CC"/>
            </a:solidFill>
            <a:ln w="12700">
              <a:solidFill>
                <a:srgbClr val="000000"/>
              </a:solidFill>
              <a:prstDash val="solid"/>
            </a:ln>
          </c:spPr>
          <c:invertIfNegative val="0"/>
          <c:dLbls>
            <c:numFmt formatCode="0.0%" sourceLinked="0"/>
            <c:spPr>
              <a:noFill/>
              <a:ln w="25400">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'Annual Returns'!$A$4:$A$13</c:f>
              <c:strCache>
                <c:ptCount val="10"/>
                <c:pt idx="0">
                  <c:v>Total Fund</c:v>
                </c:pt>
                <c:pt idx="1">
                  <c:v>Canadian equities</c:v>
                </c:pt>
                <c:pt idx="2">
                  <c:v>U.S. equities</c:v>
                </c:pt>
                <c:pt idx="3">
                  <c:v>Non-North American equities</c:v>
                </c:pt>
                <c:pt idx="4">
                  <c:v>Emerging Market equities</c:v>
                </c:pt>
                <c:pt idx="5">
                  <c:v>Bonds</c:v>
                </c:pt>
                <c:pt idx="6">
                  <c:v>Mortgages</c:v>
                </c:pt>
                <c:pt idx="7">
                  <c:v>Absolute Return Bonds</c:v>
                </c:pt>
                <c:pt idx="8">
                  <c:v>Real Estate</c:v>
                </c:pt>
                <c:pt idx="9">
                  <c:v>Infrastructure</c:v>
                </c:pt>
              </c:strCache>
            </c:strRef>
          </c:cat>
          <c:val>
            <c:numRef>
              <c:f>'Annual Returns'!$B$4:$B$13</c:f>
              <c:numCache>
                <c:formatCode>General</c:formatCode>
                <c:ptCount val="10"/>
                <c:pt idx="0">
                  <c:v>0.105</c:v>
                </c:pt>
                <c:pt idx="1">
                  <c:v>0.11600000000000001</c:v>
                </c:pt>
                <c:pt idx="2">
                  <c:v>0.22900000000000001</c:v>
                </c:pt>
                <c:pt idx="3">
                  <c:v>0.14299999999999999</c:v>
                </c:pt>
                <c:pt idx="4">
                  <c:v>6.5000000000000002E-2</c:v>
                </c:pt>
                <c:pt idx="5">
                  <c:v>7.5999999999999998E-2</c:v>
                </c:pt>
                <c:pt idx="6">
                  <c:v>7.1999999999999995E-2</c:v>
                </c:pt>
                <c:pt idx="7">
                  <c:v>6.4000000000000001E-2</c:v>
                </c:pt>
                <c:pt idx="8">
                  <c:v>-1.7000000000000001E-2</c:v>
                </c:pt>
                <c:pt idx="9">
                  <c:v>8.0000000000000002E-3</c:v>
                </c:pt>
              </c:numCache>
            </c:numRef>
          </c:val>
          <c:extLst>
            <c:ext xmlns:c16="http://schemas.microsoft.com/office/drawing/2014/chart" uri="{C3380CC4-5D6E-409C-BE32-E72D297353CC}">
              <c16:uniqueId val="{00000000-F0F2-41C1-9F6C-3779BFD1B23A}"/>
            </c:ext>
          </c:extLst>
        </c:ser>
        <c:ser>
          <c:idx val="1"/>
          <c:order val="1"/>
          <c:tx>
            <c:strRef>
              <c:f>'Annual Returns'!$C$3</c:f>
              <c:strCache>
                <c:ptCount val="1"/>
                <c:pt idx="0">
                  <c:v>Benchmark</c:v>
                </c:pt>
              </c:strCache>
            </c:strRef>
          </c:tx>
          <c:spPr>
            <a:solidFill>
              <a:srgbClr val="FFCC00"/>
            </a:solidFill>
            <a:ln w="12700">
              <a:solidFill>
                <a:srgbClr val="000000"/>
              </a:solidFill>
              <a:prstDash val="solid"/>
            </a:ln>
          </c:spPr>
          <c:invertIfNegative val="0"/>
          <c:dLbls>
            <c:numFmt formatCode="0.0%" sourceLinked="0"/>
            <c:spPr>
              <a:noFill/>
              <a:ln w="25400">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'Annual Returns'!$A$4:$A$13</c:f>
              <c:strCache>
                <c:ptCount val="10"/>
                <c:pt idx="0">
                  <c:v>Total Fund</c:v>
                </c:pt>
                <c:pt idx="1">
                  <c:v>Canadian equities</c:v>
                </c:pt>
                <c:pt idx="2">
                  <c:v>U.S. equities</c:v>
                </c:pt>
                <c:pt idx="3">
                  <c:v>Non-North American equities</c:v>
                </c:pt>
                <c:pt idx="4">
                  <c:v>Emerging Market equities</c:v>
                </c:pt>
                <c:pt idx="5">
                  <c:v>Bonds</c:v>
                </c:pt>
                <c:pt idx="6">
                  <c:v>Mortgages</c:v>
                </c:pt>
                <c:pt idx="7">
                  <c:v>Absolute Return Bonds</c:v>
                </c:pt>
                <c:pt idx="8">
                  <c:v>Real Estate</c:v>
                </c:pt>
                <c:pt idx="9">
                  <c:v>Infrastructure</c:v>
                </c:pt>
              </c:strCache>
            </c:strRef>
          </c:cat>
          <c:val>
            <c:numRef>
              <c:f>'Annual Returns'!$C$4:$C$13</c:f>
              <c:numCache>
                <c:formatCode>General</c:formatCode>
                <c:ptCount val="10"/>
                <c:pt idx="0">
                  <c:v>0.109</c:v>
                </c:pt>
                <c:pt idx="1">
                  <c:v>0.11799999999999999</c:v>
                </c:pt>
                <c:pt idx="2">
                  <c:v>0.22900000000000001</c:v>
                </c:pt>
                <c:pt idx="3">
                  <c:v>0.125</c:v>
                </c:pt>
                <c:pt idx="4">
                  <c:v>6.9000000000000006E-2</c:v>
                </c:pt>
                <c:pt idx="5">
                  <c:v>6.7000000000000004E-2</c:v>
                </c:pt>
                <c:pt idx="6">
                  <c:v>0.05</c:v>
                </c:pt>
                <c:pt idx="7">
                  <c:v>9.2999999999999999E-2</c:v>
                </c:pt>
                <c:pt idx="8">
                  <c:v>-0.02</c:v>
                </c:pt>
                <c:pt idx="9">
                  <c:v>7.3999999999999996E-2</c:v>
                </c:pt>
              </c:numCache>
            </c:numRef>
          </c:val>
          <c:extLst>
            <c:ext xmlns:c16="http://schemas.microsoft.com/office/drawing/2014/chart" uri="{C3380CC4-5D6E-409C-BE32-E72D297353CC}">
              <c16:uniqueId val="{00000001-F0F2-41C1-9F6C-3779BFD1B23A}"/>
            </c:ext>
          </c:extLst>
        </c:ser>
        <c:dLbls>
          <c:showLegendKey val="0"/>
          <c:showVal val="0"/>
          <c:showCatName val="0"/>
          <c:showSerName val="0"/>
          <c:showPercent val="0"/>
          <c:showBubbleSize val="0"/>
        </c:dLbls>
        <c:gapWidth val="100"/>
        <c:axId val="863300584"/>
        <c:axId val="1"/>
      </c:barChart>
      <c:catAx>
        <c:axId val="863300584"/>
        <c:scaling>
          <c:orientation val="maxMin"/>
        </c:scaling>
        <c:delete val="0"/>
        <c:axPos val="l"/>
        <c:numFmt formatCode="General" sourceLinked="1"/>
        <c:majorTickMark val="out"/>
        <c:minorTickMark val="none"/>
        <c:tickLblPos val="low"/>
        <c:spPr>
          <a:ln w="3175">
            <a:solidFill>
              <a:srgbClr val="000000"/>
            </a:solidFill>
            <a:prstDash val="solid"/>
          </a:ln>
        </c:spPr>
        <c:txPr>
          <a:bodyPr rot="0" vert="horz"/>
          <a:lstStyle/>
          <a:p>
            <a:pPr>
              <a:defRPr/>
            </a:pPr>
            <a:endParaRPr lang="en-US"/>
          </a:p>
        </c:txPr>
        <c:crossAx val="1"/>
        <c:crosses val="autoZero"/>
        <c:auto val="1"/>
        <c:lblAlgn val="ctr"/>
        <c:lblOffset val="100"/>
        <c:tickLblSkip val="1"/>
        <c:tickMarkSkip val="1"/>
        <c:noMultiLvlLbl val="0"/>
      </c:catAx>
      <c:valAx>
        <c:axId val="1"/>
        <c:scaling>
          <c:orientation val="minMax"/>
          <c:min val="-0.1"/>
        </c:scaling>
        <c:delete val="0"/>
        <c:axPos val="t"/>
        <c:numFmt formatCode="0%" sourceLinked="0"/>
        <c:majorTickMark val="out"/>
        <c:minorTickMark val="none"/>
        <c:tickLblPos val="high"/>
        <c:spPr>
          <a:ln w="9525">
            <a:noFill/>
          </a:ln>
        </c:spPr>
        <c:txPr>
          <a:bodyPr rot="0" vert="horz"/>
          <a:lstStyle/>
          <a:p>
            <a:pPr>
              <a:defRPr/>
            </a:pPr>
            <a:endParaRPr lang="en-US"/>
          </a:p>
        </c:txPr>
        <c:crossAx val="863300584"/>
        <c:crosses val="autoZero"/>
        <c:crossBetween val="between"/>
      </c:valAx>
      <c:spPr>
        <a:solidFill>
          <a:srgbClr val="FFFFFF"/>
        </a:solidFill>
        <a:ln w="12700">
          <a:solidFill>
            <a:srgbClr val="808080"/>
          </a:solidFill>
          <a:prstDash val="solid"/>
        </a:ln>
      </c:spPr>
    </c:plotArea>
    <c:legend>
      <c:legendPos val="r"/>
      <c:layout>
        <c:manualLayout>
          <c:xMode val="edge"/>
          <c:yMode val="edge"/>
          <c:x val="0.76789009262473273"/>
          <c:y val="0.59824114895173552"/>
          <c:w val="0.16911696942754545"/>
          <c:h val="0.12631511451947983"/>
        </c:manualLayout>
      </c:layout>
      <c:overlay val="0"/>
      <c:spPr>
        <a:solidFill>
          <a:srgbClr val="FFFFFF"/>
        </a:solidFill>
        <a:ln w="25400">
          <a:noFill/>
        </a:ln>
      </c:spPr>
    </c:legend>
    <c:plotVisOnly val="1"/>
    <c:dispBlanksAs val="gap"/>
    <c:showDLblsOverMax val="0"/>
  </c:chart>
  <c:spPr>
    <a:solidFill>
      <a:srgbClr val="FFFFFF"/>
    </a:solidFill>
    <a:ln w="9525">
      <a:noFill/>
    </a:ln>
  </c:spPr>
  <c:txPr>
    <a:bodyPr/>
    <a:lstStyle/>
    <a:p>
      <a:pPr>
        <a:defRPr sz="900" b="0" i="0" u="none" strike="noStrike" baseline="0">
          <a:solidFill>
            <a:srgbClr val="000000"/>
          </a:solidFill>
          <a:latin typeface="Helvetica Now Text" panose="020B0504030202020204" pitchFamily="34" charset="0"/>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en-CA" b="1"/>
              <a:t>Total Fund
Rolling Four-Year Returns</a:t>
            </a:r>
          </a:p>
        </c:rich>
      </c:tx>
      <c:layout>
        <c:manualLayout>
          <c:xMode val="edge"/>
          <c:yMode val="edge"/>
          <c:x val="0.30503992556485993"/>
          <c:y val="3.5143855425715104E-2"/>
        </c:manualLayout>
      </c:layout>
      <c:overlay val="0"/>
      <c:spPr>
        <a:noFill/>
        <a:ln w="25400">
          <a:noFill/>
        </a:ln>
      </c:spPr>
    </c:title>
    <c:autoTitleDeleted val="0"/>
    <c:plotArea>
      <c:layout>
        <c:manualLayout>
          <c:layoutTarget val="inner"/>
          <c:xMode val="edge"/>
          <c:yMode val="edge"/>
          <c:x val="0.13527851458885942"/>
          <c:y val="0.19488848294054972"/>
          <c:w val="0.71087533156498672"/>
          <c:h val="0.69009692319932359"/>
        </c:manualLayout>
      </c:layout>
      <c:barChart>
        <c:barDir val="bar"/>
        <c:grouping val="clustered"/>
        <c:varyColors val="0"/>
        <c:ser>
          <c:idx val="1"/>
          <c:order val="0"/>
          <c:tx>
            <c:strRef>
              <c:f>'Rolling Four Year Returns'!$C$5</c:f>
              <c:strCache>
                <c:ptCount val="1"/>
                <c:pt idx="0">
                  <c:v>Benchmark</c:v>
                </c:pt>
              </c:strCache>
            </c:strRef>
          </c:tx>
          <c:spPr>
            <a:solidFill>
              <a:srgbClr val="FFCC00"/>
            </a:solidFill>
            <a:ln w="12700">
              <a:solidFill>
                <a:srgbClr val="000000"/>
              </a:solidFill>
              <a:prstDash val="solid"/>
            </a:ln>
          </c:spPr>
          <c:invertIfNegative val="0"/>
          <c:dLbls>
            <c:numFmt formatCode="0.0%" sourceLinked="0"/>
            <c:spPr>
              <a:noFill/>
              <a:ln w="25400">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'Rolling Four Year Returns'!$A$14:$A$18</c:f>
              <c:numCache>
                <c:formatCode>General</c:formatCode>
                <c:ptCount val="5"/>
                <c:pt idx="0">
                  <c:v>2019</c:v>
                </c:pt>
                <c:pt idx="1">
                  <c:v>2020</c:v>
                </c:pt>
                <c:pt idx="2">
                  <c:v>2021</c:v>
                </c:pt>
                <c:pt idx="3">
                  <c:v>2022</c:v>
                </c:pt>
                <c:pt idx="4">
                  <c:v>2023</c:v>
                </c:pt>
              </c:numCache>
            </c:numRef>
          </c:cat>
          <c:val>
            <c:numRef>
              <c:f>'Rolling Four Year Returns'!$C$14:$C$18</c:f>
              <c:numCache>
                <c:formatCode>General</c:formatCode>
                <c:ptCount val="5"/>
                <c:pt idx="0">
                  <c:v>8.1000000000000003E-2</c:v>
                </c:pt>
                <c:pt idx="1">
                  <c:v>8.4000000000000005E-2</c:v>
                </c:pt>
                <c:pt idx="2">
                  <c:v>9.1999999999999998E-2</c:v>
                </c:pt>
                <c:pt idx="3">
                  <c:v>7.6999999999999999E-2</c:v>
                </c:pt>
                <c:pt idx="4">
                  <c:v>6.5000000000000002E-2</c:v>
                </c:pt>
              </c:numCache>
            </c:numRef>
          </c:val>
          <c:extLst>
            <c:ext xmlns:c16="http://schemas.microsoft.com/office/drawing/2014/chart" uri="{C3380CC4-5D6E-409C-BE32-E72D297353CC}">
              <c16:uniqueId val="{00000007-E2A6-499F-B4AA-BE1AB888F47C}"/>
            </c:ext>
          </c:extLst>
        </c:ser>
        <c:ser>
          <c:idx val="0"/>
          <c:order val="1"/>
          <c:tx>
            <c:strRef>
              <c:f>'Rolling Four Year Returns'!$B$5</c:f>
              <c:strCache>
                <c:ptCount val="1"/>
                <c:pt idx="0">
                  <c:v>Total Fund </c:v>
                </c:pt>
              </c:strCache>
            </c:strRef>
          </c:tx>
          <c:spPr>
            <a:solidFill>
              <a:srgbClr val="0066CC"/>
            </a:solidFill>
            <a:ln w="12700">
              <a:solidFill>
                <a:srgbClr val="000000"/>
              </a:solidFill>
              <a:prstDash val="solid"/>
            </a:ln>
          </c:spPr>
          <c:invertIfNegative val="0"/>
          <c:dLbls>
            <c:numFmt formatCode="0.0%" sourceLinked="0"/>
            <c:spPr>
              <a:noFill/>
              <a:ln w="25400">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'Rolling Four Year Returns'!$A$14:$A$18</c:f>
              <c:numCache>
                <c:formatCode>General</c:formatCode>
                <c:ptCount val="5"/>
                <c:pt idx="0">
                  <c:v>2019</c:v>
                </c:pt>
                <c:pt idx="1">
                  <c:v>2020</c:v>
                </c:pt>
                <c:pt idx="2">
                  <c:v>2021</c:v>
                </c:pt>
                <c:pt idx="3">
                  <c:v>2022</c:v>
                </c:pt>
                <c:pt idx="4">
                  <c:v>2023</c:v>
                </c:pt>
              </c:numCache>
            </c:numRef>
          </c:cat>
          <c:val>
            <c:numRef>
              <c:f>'Rolling Four Year Returns'!$B$14:$B$18</c:f>
              <c:numCache>
                <c:formatCode>General</c:formatCode>
                <c:ptCount val="5"/>
                <c:pt idx="0">
                  <c:v>7.9000000000000001E-2</c:v>
                </c:pt>
                <c:pt idx="1">
                  <c:v>8.1000000000000003E-2</c:v>
                </c:pt>
                <c:pt idx="2">
                  <c:v>8.7999999999999995E-2</c:v>
                </c:pt>
                <c:pt idx="3">
                  <c:v>7.1999999999999995E-2</c:v>
                </c:pt>
                <c:pt idx="4">
                  <c:v>0.06</c:v>
                </c:pt>
              </c:numCache>
            </c:numRef>
          </c:val>
          <c:extLst>
            <c:ext xmlns:c16="http://schemas.microsoft.com/office/drawing/2014/chart" uri="{C3380CC4-5D6E-409C-BE32-E72D297353CC}">
              <c16:uniqueId val="{0000000E-E2A6-499F-B4AA-BE1AB888F47C}"/>
            </c:ext>
          </c:extLst>
        </c:ser>
        <c:dLbls>
          <c:showLegendKey val="0"/>
          <c:showVal val="0"/>
          <c:showCatName val="0"/>
          <c:showSerName val="0"/>
          <c:showPercent val="0"/>
          <c:showBubbleSize val="0"/>
        </c:dLbls>
        <c:gapWidth val="100"/>
        <c:axId val="808515616"/>
        <c:axId val="1"/>
      </c:barChart>
      <c:catAx>
        <c:axId val="80851561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
        <c:crosses val="autoZero"/>
        <c:auto val="1"/>
        <c:lblAlgn val="ctr"/>
        <c:lblOffset val="100"/>
        <c:tickLblSkip val="1"/>
        <c:tickMarkSkip val="1"/>
        <c:noMultiLvlLbl val="0"/>
      </c:catAx>
      <c:valAx>
        <c:axId val="1"/>
        <c:scaling>
          <c:orientation val="minMax"/>
          <c:max val="0.15000000000000002"/>
          <c:min val="0"/>
        </c:scaling>
        <c:delete val="0"/>
        <c:axPos val="b"/>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808515616"/>
        <c:crosses val="autoZero"/>
        <c:crossBetween val="between"/>
        <c:majorUnit val="5.000000000000001E-2"/>
      </c:valAx>
      <c:spPr>
        <a:solidFill>
          <a:srgbClr val="FFFFFF"/>
        </a:solidFill>
        <a:ln w="12700">
          <a:solidFill>
            <a:srgbClr val="FFFFFF"/>
          </a:solidFill>
          <a:prstDash val="solid"/>
        </a:ln>
      </c:spPr>
    </c:plotArea>
    <c:legend>
      <c:legendPos val="r"/>
      <c:layout>
        <c:manualLayout>
          <c:xMode val="edge"/>
          <c:yMode val="edge"/>
          <c:x val="0.67727672929772664"/>
          <c:y val="0.19914873698112576"/>
          <c:w val="0.22015914677332005"/>
          <c:h val="0.1214059548288948"/>
        </c:manualLayout>
      </c:layout>
      <c:overlay val="0"/>
      <c:spPr>
        <a:solidFill>
          <a:srgbClr val="FFFFFF"/>
        </a:solidFill>
        <a:ln w="25400">
          <a:noFill/>
        </a:ln>
      </c:sp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Helvetica Now Text" panose="020B0504030202020204" pitchFamily="34" charset="0"/>
          <a:ea typeface="Arial"/>
          <a:cs typeface="Arial"/>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0.92682</cdr:y>
    </cdr:from>
    <cdr:to>
      <cdr:x>0.408</cdr:x>
      <cdr:y>0.98264</cdr:y>
    </cdr:to>
    <cdr:sp macro="" textlink="">
      <cdr:nvSpPr>
        <cdr:cNvPr id="2" name="TextBox 1"/>
        <cdr:cNvSpPr txBox="1"/>
      </cdr:nvSpPr>
      <cdr:spPr>
        <a:xfrm xmlns:a="http://schemas.openxmlformats.org/drawingml/2006/main">
          <a:off x="0" y="2542460"/>
          <a:ext cx="2114100" cy="1531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800" i="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cdr:x>
      <cdr:y>0.92159</cdr:y>
    </cdr:from>
    <cdr:to>
      <cdr:x>0.408</cdr:x>
      <cdr:y>1</cdr:y>
    </cdr:to>
    <cdr:sp macro="" textlink="">
      <cdr:nvSpPr>
        <cdr:cNvPr id="3" name="TextBox 1"/>
        <cdr:cNvSpPr txBox="1"/>
      </cdr:nvSpPr>
      <cdr:spPr>
        <a:xfrm xmlns:a="http://schemas.openxmlformats.org/drawingml/2006/main">
          <a:off x="0" y="2392327"/>
          <a:ext cx="2533802" cy="2035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i="1">
              <a:latin typeface="Helvetica Now Text" panose="020B0504030202020204" pitchFamily="34" charset="0"/>
              <a:cs typeface="Arial" panose="020B0604020202020204" pitchFamily="34" charset="0"/>
            </a:rPr>
            <a:t>Source: Bloomberg</a:t>
          </a:r>
        </a:p>
      </cdr:txBody>
    </cdr:sp>
  </cdr:relSizeAnchor>
  <cdr:relSizeAnchor xmlns:cdr="http://schemas.openxmlformats.org/drawingml/2006/chartDrawing">
    <cdr:from>
      <cdr:x>0</cdr:x>
      <cdr:y>0.92217</cdr:y>
    </cdr:from>
    <cdr:to>
      <cdr:x>0.50625</cdr:x>
      <cdr:y>1</cdr:y>
    </cdr:to>
    <cdr:sp macro="" textlink="">
      <cdr:nvSpPr>
        <cdr:cNvPr id="4" name="TextBox 1">
          <a:extLst xmlns:a="http://schemas.openxmlformats.org/drawingml/2006/main">
            <a:ext uri="{FF2B5EF4-FFF2-40B4-BE49-F238E27FC236}">
              <a16:creationId xmlns:a16="http://schemas.microsoft.com/office/drawing/2014/main" id="{653F54BE-5C74-5593-2218-8B586130D387}"/>
            </a:ext>
          </a:extLst>
        </cdr:cNvPr>
        <cdr:cNvSpPr txBox="1"/>
      </cdr:nvSpPr>
      <cdr:spPr>
        <a:xfrm xmlns:a="http://schemas.openxmlformats.org/drawingml/2006/main">
          <a:off x="0" y="2270761"/>
          <a:ext cx="2081295" cy="1916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i="1">
            <a:latin typeface="Helvetica Now Text" panose="020B0504030202020204" pitchFamily="34" charset="0"/>
            <a:cs typeface="Arial" panose="020B0604020202020204" pitchFamily="34" charset="0"/>
          </a:endParaRPr>
        </a:p>
      </cdr:txBody>
    </cdr:sp>
  </cdr:relSizeAnchor>
  <cdr:relSizeAnchor xmlns:cdr="http://schemas.openxmlformats.org/drawingml/2006/chartDrawing">
    <cdr:from>
      <cdr:x>0.03021</cdr:x>
      <cdr:y>0.77257</cdr:y>
    </cdr:from>
    <cdr:to>
      <cdr:x>0.71563</cdr:x>
      <cdr:y>0.95313</cdr:y>
    </cdr:to>
    <cdr:sp macro="" textlink="">
      <cdr:nvSpPr>
        <cdr:cNvPr id="5" name="TextBox 2">
          <a:extLst xmlns:a="http://schemas.openxmlformats.org/drawingml/2006/main">
            <a:ext uri="{FF2B5EF4-FFF2-40B4-BE49-F238E27FC236}">
              <a16:creationId xmlns:a16="http://schemas.microsoft.com/office/drawing/2014/main" id="{7F09E132-77AB-4A7B-AA0E-8E2EA63DD761}"/>
            </a:ext>
          </a:extLst>
        </cdr:cNvPr>
        <cdr:cNvSpPr txBox="1"/>
      </cdr:nvSpPr>
      <cdr:spPr>
        <a:xfrm xmlns:a="http://schemas.openxmlformats.org/drawingml/2006/main">
          <a:off x="138113" y="2119313"/>
          <a:ext cx="3133725" cy="495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0.03021</cdr:x>
      <cdr:y>0.77257</cdr:y>
    </cdr:from>
    <cdr:to>
      <cdr:x>0.71563</cdr:x>
      <cdr:y>0.95313</cdr:y>
    </cdr:to>
    <cdr:sp macro="" textlink="">
      <cdr:nvSpPr>
        <cdr:cNvPr id="6" name="TextBox 2">
          <a:extLst xmlns:a="http://schemas.openxmlformats.org/drawingml/2006/main">
            <a:ext uri="{FF2B5EF4-FFF2-40B4-BE49-F238E27FC236}">
              <a16:creationId xmlns:a16="http://schemas.microsoft.com/office/drawing/2014/main" id="{0D8350F0-00A6-0C0C-8BBD-7535E7855621}"/>
            </a:ext>
          </a:extLst>
        </cdr:cNvPr>
        <cdr:cNvSpPr txBox="1"/>
      </cdr:nvSpPr>
      <cdr:spPr>
        <a:xfrm xmlns:a="http://schemas.openxmlformats.org/drawingml/2006/main">
          <a:off x="138113" y="2119313"/>
          <a:ext cx="3133725" cy="495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latin typeface="Helvetica Now Text" panose="020B0504030202020204" pitchFamily="34" charset="0"/>
          </a:endParaRPr>
        </a:p>
        <a:p xmlns:a="http://schemas.openxmlformats.org/drawingml/2006/main">
          <a:endParaRPr lang="en-US">
            <a:latin typeface="Helvetica Now Text" panose="020B050403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Review of 2005 Investment Performance</vt:lpstr>
    </vt:vector>
  </TitlesOfParts>
  <Company>University of Regina</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2005 Investment Performance</dc:title>
  <dc:subject/>
  <dc:creator>j3king</dc:creator>
  <cp:keywords/>
  <dc:description/>
  <cp:lastModifiedBy>Marina Ahrendt</cp:lastModifiedBy>
  <cp:revision>2</cp:revision>
  <dcterms:created xsi:type="dcterms:W3CDTF">2024-05-02T17:32:00Z</dcterms:created>
  <dcterms:modified xsi:type="dcterms:W3CDTF">2024-05-02T17:32:00Z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2013</vt:lpwstr>
  </property>
  <property fmtid="{D5CDD505-2E9C-101B-9397-08002B2CF9AE}" pid="4" name="LastSaved">
    <vt:filetime>2021-02-11T00:00:00Z</vt:filetime>
  </property>
  <property fmtid="{D5CDD505-2E9C-101B-9397-08002B2CF9AE}" pid="5" name="TitusGUID">
    <vt:lpwstr>50fbf71d-559e-45b9-83f1-6298cdf1c15e</vt:lpwstr>
  </property>
  <property fmtid="{D5CDD505-2E9C-101B-9397-08002B2CF9AE}" pid="6" name="AonClassification">
    <vt:lpwstr>ADC_class_200</vt:lpwstr>
  </property>
  <property fmtid="{D5CDD505-2E9C-101B-9397-08002B2CF9AE}" pid="7" name="MSIP_Label_9043f10a-881e-4653-a55e-02ca2cc829dc_Enabled">
    <vt:lpwstr>true</vt:lpwstr>
  </property>
  <property fmtid="{D5CDD505-2E9C-101B-9397-08002B2CF9AE}" pid="8" name="MSIP_Label_9043f10a-881e-4653-a55e-02ca2cc829dc_SetDate">
    <vt:lpwstr>2024-02-13T19:25:16Z</vt:lpwstr>
  </property>
  <property fmtid="{D5CDD505-2E9C-101B-9397-08002B2CF9AE}" pid="9" name="MSIP_Label_9043f10a-881e-4653-a55e-02ca2cc829dc_Method">
    <vt:lpwstr>Standard</vt:lpwstr>
  </property>
  <property fmtid="{D5CDD505-2E9C-101B-9397-08002B2CF9AE}" pid="10" name="MSIP_Label_9043f10a-881e-4653-a55e-02ca2cc829dc_Name">
    <vt:lpwstr>ADC_class_200</vt:lpwstr>
  </property>
  <property fmtid="{D5CDD505-2E9C-101B-9397-08002B2CF9AE}" pid="11" name="MSIP_Label_9043f10a-881e-4653-a55e-02ca2cc829dc_SiteId">
    <vt:lpwstr>94cfddbc-0627-494a-ad7a-29aea3aea832</vt:lpwstr>
  </property>
  <property fmtid="{D5CDD505-2E9C-101B-9397-08002B2CF9AE}" pid="12" name="MSIP_Label_9043f10a-881e-4653-a55e-02ca2cc829dc_ActionId">
    <vt:lpwstr>d67c8da1-de71-4263-82c6-4cae075e14c6</vt:lpwstr>
  </property>
  <property fmtid="{D5CDD505-2E9C-101B-9397-08002B2CF9AE}" pid="13" name="MSIP_Label_9043f10a-881e-4653-a55e-02ca2cc829dc_ContentBits">
    <vt:lpwstr>0</vt:lpwstr>
  </property>
</Properties>
</file>